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D1D9" w14:textId="20423607" w:rsidR="00397334" w:rsidRPr="001B454D" w:rsidRDefault="00397334" w:rsidP="00397334">
      <w:pPr>
        <w:pStyle w:val="OUPLegalHeading1"/>
        <w:numPr>
          <w:ilvl w:val="0"/>
          <w:numId w:val="0"/>
        </w:numPr>
        <w:tabs>
          <w:tab w:val="left" w:pos="720"/>
        </w:tabs>
        <w:jc w:val="center"/>
        <w:rPr>
          <w:rFonts w:ascii="Futura Bk BT" w:hAnsi="Futura Bk BT" w:cs="Tahoma"/>
          <w:sz w:val="24"/>
          <w:szCs w:val="24"/>
        </w:rPr>
      </w:pPr>
      <w:r w:rsidRPr="001B454D">
        <w:rPr>
          <w:rFonts w:ascii="Futura Bk BT" w:hAnsi="Futura Bk BT" w:cs="Tahoma"/>
          <w:sz w:val="24"/>
          <w:szCs w:val="24"/>
        </w:rPr>
        <w:t xml:space="preserve">Responsibilities AND JOB DESCRIPTION of THE </w:t>
      </w:r>
      <w:r w:rsidR="00676B4F" w:rsidRPr="001B454D">
        <w:rPr>
          <w:rFonts w:ascii="Futura Bk BT" w:hAnsi="Futura Bk BT" w:cs="Tahoma"/>
          <w:sz w:val="24"/>
          <w:szCs w:val="24"/>
        </w:rPr>
        <w:t>NDT</w:t>
      </w:r>
      <w:r w:rsidRPr="001B454D">
        <w:rPr>
          <w:rFonts w:ascii="Futura Bk BT" w:hAnsi="Futura Bk BT" w:cs="Tahoma"/>
          <w:sz w:val="24"/>
          <w:szCs w:val="24"/>
        </w:rPr>
        <w:t xml:space="preserve"> EiC</w:t>
      </w:r>
    </w:p>
    <w:p w14:paraId="4BA764FF" w14:textId="77777777" w:rsidR="00397334" w:rsidRPr="001B454D" w:rsidRDefault="00397334" w:rsidP="00397334">
      <w:pPr>
        <w:pStyle w:val="OUPLegalHeading1"/>
        <w:numPr>
          <w:ilvl w:val="0"/>
          <w:numId w:val="0"/>
        </w:numPr>
        <w:tabs>
          <w:tab w:val="left" w:pos="720"/>
        </w:tabs>
        <w:jc w:val="center"/>
        <w:rPr>
          <w:rFonts w:ascii="Futura Bk BT" w:hAnsi="Futura Bk BT" w:cs="Tahoma"/>
          <w:caps w:val="0"/>
          <w:sz w:val="24"/>
          <w:szCs w:val="24"/>
        </w:rPr>
      </w:pPr>
    </w:p>
    <w:p w14:paraId="5936CA5C" w14:textId="77777777" w:rsidR="0076218B" w:rsidRPr="001B454D" w:rsidRDefault="00397334" w:rsidP="00397334">
      <w:pPr>
        <w:pStyle w:val="Koptekst"/>
        <w:tabs>
          <w:tab w:val="left" w:pos="2268"/>
        </w:tabs>
        <w:rPr>
          <w:rFonts w:ascii="Futura Bk BT" w:hAnsi="Futura Bk BT" w:cs="Tahoma"/>
          <w:b/>
          <w:bCs/>
          <w:sz w:val="24"/>
          <w:szCs w:val="24"/>
        </w:rPr>
      </w:pPr>
      <w:r w:rsidRPr="001B454D">
        <w:rPr>
          <w:rFonts w:ascii="Futura Bk BT" w:hAnsi="Futura Bk BT" w:cs="Tahoma"/>
          <w:b/>
          <w:bCs/>
          <w:sz w:val="24"/>
          <w:szCs w:val="24"/>
        </w:rPr>
        <w:t>Title of Responsibility:</w:t>
      </w:r>
    </w:p>
    <w:p w14:paraId="1426431B" w14:textId="1FFA1CFD" w:rsidR="007D1355" w:rsidRPr="001B454D" w:rsidRDefault="00397334" w:rsidP="00397334">
      <w:pPr>
        <w:pStyle w:val="Koptekst"/>
        <w:tabs>
          <w:tab w:val="left" w:pos="2268"/>
        </w:tabs>
        <w:rPr>
          <w:rFonts w:ascii="Futura Bk BT" w:hAnsi="Futura Bk BT" w:cs="Tahoma"/>
          <w:sz w:val="24"/>
          <w:szCs w:val="24"/>
        </w:rPr>
      </w:pPr>
      <w:r w:rsidRPr="001B454D">
        <w:rPr>
          <w:rFonts w:ascii="Futura Bk BT" w:hAnsi="Futura Bk BT" w:cs="Tahoma"/>
          <w:sz w:val="24"/>
          <w:szCs w:val="24"/>
        </w:rPr>
        <w:tab/>
      </w:r>
      <w:r w:rsidR="005C10E5" w:rsidRPr="001B454D">
        <w:rPr>
          <w:rFonts w:ascii="Futura Bk BT" w:hAnsi="Futura Bk BT" w:cs="Tahoma"/>
          <w:sz w:val="24"/>
          <w:szCs w:val="24"/>
        </w:rPr>
        <w:t xml:space="preserve"> </w:t>
      </w:r>
      <w:r w:rsidR="007D1355" w:rsidRPr="001B454D">
        <w:rPr>
          <w:rFonts w:ascii="Futura Bk BT" w:hAnsi="Futura Bk BT" w:cs="Tahoma"/>
          <w:sz w:val="24"/>
          <w:szCs w:val="24"/>
        </w:rPr>
        <w:tab/>
      </w:r>
    </w:p>
    <w:p w14:paraId="6FDA6B84" w14:textId="00B1C34F" w:rsidR="00397334" w:rsidRPr="001B454D" w:rsidRDefault="00397334" w:rsidP="00397334">
      <w:pPr>
        <w:pStyle w:val="Koptekst"/>
        <w:tabs>
          <w:tab w:val="left" w:pos="2268"/>
        </w:tabs>
        <w:rPr>
          <w:rFonts w:ascii="Futura Bk BT" w:hAnsi="Futura Bk BT" w:cs="Tahoma"/>
          <w:i/>
          <w:iCs/>
          <w:sz w:val="24"/>
          <w:szCs w:val="24"/>
        </w:rPr>
      </w:pPr>
      <w:r w:rsidRPr="001B454D">
        <w:rPr>
          <w:rFonts w:ascii="Futura Bk BT" w:hAnsi="Futura Bk BT" w:cs="Tahoma"/>
          <w:bCs/>
          <w:sz w:val="24"/>
          <w:szCs w:val="24"/>
        </w:rPr>
        <w:t>Editor</w:t>
      </w:r>
      <w:r w:rsidR="005C10E5" w:rsidRPr="001B454D">
        <w:rPr>
          <w:rFonts w:ascii="Futura Bk BT" w:hAnsi="Futura Bk BT" w:cs="Tahoma"/>
          <w:bCs/>
          <w:sz w:val="24"/>
          <w:szCs w:val="24"/>
        </w:rPr>
        <w:t>-</w:t>
      </w:r>
      <w:r w:rsidRPr="001B454D">
        <w:rPr>
          <w:rFonts w:ascii="Futura Bk BT" w:hAnsi="Futura Bk BT" w:cs="Tahoma"/>
          <w:bCs/>
          <w:sz w:val="24"/>
          <w:szCs w:val="24"/>
        </w:rPr>
        <w:t>in</w:t>
      </w:r>
      <w:r w:rsidR="005C10E5" w:rsidRPr="001B454D">
        <w:rPr>
          <w:rFonts w:ascii="Futura Bk BT" w:hAnsi="Futura Bk BT" w:cs="Tahoma"/>
          <w:bCs/>
          <w:sz w:val="24"/>
          <w:szCs w:val="24"/>
        </w:rPr>
        <w:t>-</w:t>
      </w:r>
      <w:r w:rsidRPr="001B454D">
        <w:rPr>
          <w:rFonts w:ascii="Futura Bk BT" w:hAnsi="Futura Bk BT" w:cs="Tahoma"/>
          <w:bCs/>
          <w:sz w:val="24"/>
          <w:szCs w:val="24"/>
        </w:rPr>
        <w:t>Chief –</w:t>
      </w:r>
      <w:r w:rsidR="00676B4F" w:rsidRPr="001B454D">
        <w:rPr>
          <w:rFonts w:ascii="Futura Bk BT" w:hAnsi="Futura Bk BT" w:cs="Tahoma"/>
          <w:i/>
          <w:iCs/>
          <w:sz w:val="24"/>
          <w:szCs w:val="24"/>
        </w:rPr>
        <w:t xml:space="preserve"> Nephrology Dialysis Transplantation (NDT)</w:t>
      </w:r>
    </w:p>
    <w:p w14:paraId="18A96E68" w14:textId="77777777" w:rsidR="0076218B" w:rsidRPr="001B454D" w:rsidRDefault="0076218B" w:rsidP="00397334">
      <w:pPr>
        <w:pStyle w:val="Koptekst"/>
        <w:tabs>
          <w:tab w:val="left" w:pos="2254"/>
        </w:tabs>
        <w:rPr>
          <w:rFonts w:ascii="Futura Bk BT" w:hAnsi="Futura Bk BT" w:cs="Tahoma"/>
          <w:sz w:val="24"/>
          <w:szCs w:val="24"/>
        </w:rPr>
      </w:pPr>
    </w:p>
    <w:p w14:paraId="7B2B3EA3" w14:textId="14C7C2D4" w:rsidR="007D1355" w:rsidRPr="001B454D" w:rsidRDefault="00397334" w:rsidP="00397334">
      <w:pPr>
        <w:pStyle w:val="Koptekst"/>
        <w:tabs>
          <w:tab w:val="left" w:pos="2254"/>
        </w:tabs>
        <w:rPr>
          <w:rFonts w:ascii="Futura Bk BT" w:hAnsi="Futura Bk BT" w:cs="Tahoma"/>
          <w:b/>
          <w:bCs/>
          <w:sz w:val="24"/>
          <w:szCs w:val="24"/>
        </w:rPr>
      </w:pPr>
      <w:r w:rsidRPr="001B454D">
        <w:rPr>
          <w:rFonts w:ascii="Futura Bk BT" w:hAnsi="Futura Bk BT" w:cs="Tahoma"/>
          <w:b/>
          <w:bCs/>
          <w:sz w:val="24"/>
          <w:szCs w:val="24"/>
        </w:rPr>
        <w:t>Accountable to:</w:t>
      </w:r>
      <w:r w:rsidRPr="001B454D">
        <w:rPr>
          <w:rFonts w:ascii="Futura Bk BT" w:hAnsi="Futura Bk BT" w:cs="Tahoma"/>
          <w:b/>
          <w:bCs/>
          <w:sz w:val="24"/>
          <w:szCs w:val="24"/>
        </w:rPr>
        <w:tab/>
      </w:r>
    </w:p>
    <w:p w14:paraId="4E8A054C" w14:textId="77777777" w:rsidR="0076218B" w:rsidRPr="001B454D" w:rsidRDefault="0076218B" w:rsidP="00397334">
      <w:pPr>
        <w:pStyle w:val="Koptekst"/>
        <w:tabs>
          <w:tab w:val="left" w:pos="2254"/>
        </w:tabs>
        <w:rPr>
          <w:rFonts w:ascii="Futura Bk BT" w:hAnsi="Futura Bk BT" w:cs="Tahoma"/>
          <w:sz w:val="24"/>
          <w:szCs w:val="24"/>
        </w:rPr>
      </w:pPr>
    </w:p>
    <w:p w14:paraId="295BA1D6" w14:textId="1AE91730" w:rsidR="00397334" w:rsidRPr="001B454D" w:rsidRDefault="00397334" w:rsidP="00397334">
      <w:pPr>
        <w:pStyle w:val="Koptekst"/>
        <w:tabs>
          <w:tab w:val="left" w:pos="2254"/>
        </w:tabs>
        <w:rPr>
          <w:rFonts w:ascii="Futura Bk BT" w:hAnsi="Futura Bk BT" w:cs="Tahoma"/>
          <w:sz w:val="24"/>
          <w:szCs w:val="24"/>
        </w:rPr>
      </w:pPr>
      <w:r w:rsidRPr="001B454D">
        <w:rPr>
          <w:rFonts w:ascii="Futura Bk BT" w:hAnsi="Futura Bk BT" w:cs="Tahoma"/>
          <w:sz w:val="24"/>
          <w:szCs w:val="24"/>
        </w:rPr>
        <w:t>Council of ERA</w:t>
      </w:r>
    </w:p>
    <w:p w14:paraId="301C8E5C" w14:textId="77777777" w:rsidR="0076218B" w:rsidRPr="001B454D" w:rsidRDefault="0076218B" w:rsidP="00397334">
      <w:pPr>
        <w:pStyle w:val="Koptekst"/>
        <w:ind w:left="2268" w:hanging="2268"/>
        <w:rPr>
          <w:rFonts w:ascii="Futura Bk BT" w:hAnsi="Futura Bk BT" w:cs="Tahoma"/>
          <w:sz w:val="24"/>
          <w:szCs w:val="24"/>
        </w:rPr>
      </w:pPr>
    </w:p>
    <w:p w14:paraId="4779553C" w14:textId="77777777" w:rsidR="0076218B" w:rsidRPr="001B454D" w:rsidRDefault="00397334" w:rsidP="00397334">
      <w:pPr>
        <w:pStyle w:val="Koptekst"/>
        <w:ind w:left="2268" w:hanging="2268"/>
        <w:rPr>
          <w:rFonts w:ascii="Futura Bk BT" w:hAnsi="Futura Bk BT" w:cs="Tahoma"/>
          <w:b/>
          <w:bCs/>
          <w:sz w:val="24"/>
          <w:szCs w:val="24"/>
        </w:rPr>
      </w:pPr>
      <w:r w:rsidRPr="001B454D">
        <w:rPr>
          <w:rFonts w:ascii="Futura Bk BT" w:hAnsi="Futura Bk BT" w:cs="Tahoma"/>
          <w:b/>
          <w:bCs/>
          <w:sz w:val="24"/>
          <w:szCs w:val="24"/>
        </w:rPr>
        <w:t>Appointment:</w:t>
      </w:r>
    </w:p>
    <w:p w14:paraId="67E27588" w14:textId="0440DD60" w:rsidR="007D1355" w:rsidRPr="001B454D" w:rsidRDefault="00397334" w:rsidP="00397334">
      <w:pPr>
        <w:pStyle w:val="Koptekst"/>
        <w:ind w:left="2268" w:hanging="2268"/>
        <w:rPr>
          <w:rFonts w:ascii="Futura Bk BT" w:hAnsi="Futura Bk BT" w:cs="Tahoma"/>
          <w:sz w:val="24"/>
          <w:szCs w:val="24"/>
        </w:rPr>
      </w:pPr>
      <w:r w:rsidRPr="001B454D">
        <w:rPr>
          <w:rFonts w:ascii="Futura Bk BT" w:hAnsi="Futura Bk BT" w:cs="Tahoma"/>
          <w:sz w:val="24"/>
          <w:szCs w:val="24"/>
        </w:rPr>
        <w:tab/>
      </w:r>
    </w:p>
    <w:p w14:paraId="7BBF7382" w14:textId="72E77825" w:rsidR="0076218B" w:rsidRDefault="00397334" w:rsidP="003E525E">
      <w:pPr>
        <w:pStyle w:val="Koptekst"/>
        <w:ind w:left="2268" w:hanging="2268"/>
        <w:rPr>
          <w:rFonts w:ascii="Futura Bk BT" w:hAnsi="Futura Bk BT" w:cs="Tahoma"/>
          <w:sz w:val="24"/>
          <w:szCs w:val="24"/>
        </w:rPr>
      </w:pPr>
      <w:r w:rsidRPr="001B454D">
        <w:rPr>
          <w:rFonts w:ascii="Futura Bk BT" w:hAnsi="Futura Bk BT" w:cs="Tahoma"/>
          <w:sz w:val="24"/>
          <w:szCs w:val="24"/>
        </w:rPr>
        <w:t>Contracted 3-year term, renewable for max. another 3</w:t>
      </w:r>
      <w:r w:rsidR="0076218B" w:rsidRPr="001B454D">
        <w:rPr>
          <w:rFonts w:ascii="Futura Bk BT" w:hAnsi="Futura Bk BT" w:cs="Tahoma"/>
          <w:sz w:val="24"/>
          <w:szCs w:val="24"/>
        </w:rPr>
        <w:t xml:space="preserve">- </w:t>
      </w:r>
      <w:r w:rsidRPr="001B454D">
        <w:rPr>
          <w:rFonts w:ascii="Futura Bk BT" w:hAnsi="Futura Bk BT" w:cs="Tahoma"/>
          <w:sz w:val="24"/>
          <w:szCs w:val="24"/>
        </w:rPr>
        <w:t xml:space="preserve">year term </w:t>
      </w:r>
    </w:p>
    <w:p w14:paraId="225546E9" w14:textId="77777777" w:rsidR="00453032" w:rsidRPr="001B454D" w:rsidRDefault="00453032" w:rsidP="00453032">
      <w:pPr>
        <w:pStyle w:val="Koptekst"/>
        <w:ind w:left="2268" w:hanging="2268"/>
        <w:rPr>
          <w:rFonts w:ascii="Futura Bk BT" w:hAnsi="Futura Bk BT" w:cs="Tahoma"/>
          <w:sz w:val="24"/>
          <w:szCs w:val="24"/>
        </w:rPr>
      </w:pPr>
    </w:p>
    <w:p w14:paraId="1AAD656D" w14:textId="1A3B9B3F" w:rsidR="0076218B" w:rsidRPr="001B454D" w:rsidRDefault="00397334" w:rsidP="007D1355">
      <w:pPr>
        <w:rPr>
          <w:rFonts w:ascii="Futura Bk BT" w:hAnsi="Futura Bk BT" w:cs="Tahoma"/>
          <w:b/>
          <w:bCs/>
          <w:sz w:val="24"/>
          <w:szCs w:val="24"/>
        </w:rPr>
      </w:pPr>
      <w:r w:rsidRPr="001B454D">
        <w:rPr>
          <w:rFonts w:ascii="Futura Bk BT" w:hAnsi="Futura Bk BT" w:cs="Tahoma"/>
          <w:b/>
          <w:bCs/>
          <w:sz w:val="24"/>
          <w:szCs w:val="24"/>
        </w:rPr>
        <w:t>Remuneration:</w:t>
      </w:r>
      <w:r w:rsidRPr="001B454D">
        <w:rPr>
          <w:rFonts w:ascii="Futura Bk BT" w:hAnsi="Futura Bk BT" w:cs="Tahoma"/>
          <w:b/>
          <w:bCs/>
          <w:sz w:val="24"/>
          <w:szCs w:val="24"/>
        </w:rPr>
        <w:tab/>
      </w:r>
      <w:r w:rsidR="007D1355" w:rsidRPr="001B454D">
        <w:rPr>
          <w:rFonts w:ascii="Futura Bk BT" w:hAnsi="Futura Bk BT" w:cs="Tahoma"/>
          <w:b/>
          <w:bCs/>
          <w:sz w:val="24"/>
          <w:szCs w:val="24"/>
        </w:rPr>
        <w:t xml:space="preserve"> </w:t>
      </w:r>
    </w:p>
    <w:p w14:paraId="6FC020E3" w14:textId="77777777" w:rsidR="008772A8" w:rsidRPr="00FC2484" w:rsidRDefault="00397334" w:rsidP="008772A8">
      <w:pPr>
        <w:pStyle w:val="Default"/>
        <w:rPr>
          <w:lang w:val="en-US"/>
        </w:rPr>
      </w:pPr>
      <w:r w:rsidRPr="001B454D">
        <w:rPr>
          <w:rFonts w:ascii="Futura Bk BT" w:hAnsi="Futura Bk BT" w:cs="Tahoma"/>
          <w:lang w:val="en-US"/>
        </w:rPr>
        <w:t>The EiC receives a flat fee compensation</w:t>
      </w:r>
      <w:r w:rsidR="00F04FAB" w:rsidRPr="001B454D">
        <w:rPr>
          <w:rFonts w:ascii="Futura Bk BT" w:hAnsi="Futura Bk BT" w:cs="Tahoma"/>
          <w:lang w:val="en-US"/>
        </w:rPr>
        <w:t xml:space="preserve"> of </w:t>
      </w:r>
      <w:r w:rsidR="00FD5F77" w:rsidRPr="001B454D">
        <w:rPr>
          <w:rFonts w:ascii="Futura Bk BT" w:hAnsi="Futura Bk BT" w:cs="Tahoma"/>
          <w:lang w:val="en-US"/>
        </w:rPr>
        <w:t>50</w:t>
      </w:r>
      <w:r w:rsidR="00F04FAB" w:rsidRPr="001B454D">
        <w:rPr>
          <w:rFonts w:ascii="Futura Bk BT" w:hAnsi="Futura Bk BT" w:cs="Tahoma"/>
          <w:lang w:val="en-US"/>
        </w:rPr>
        <w:t xml:space="preserve"> 000 EUR/year</w:t>
      </w:r>
      <w:r w:rsidRPr="001B454D">
        <w:rPr>
          <w:rFonts w:ascii="Futura Bk BT" w:hAnsi="Futura Bk BT" w:cs="Tahoma"/>
          <w:lang w:val="en-US"/>
        </w:rPr>
        <w:t xml:space="preserve"> and </w:t>
      </w:r>
      <w:r w:rsidR="00356C6A" w:rsidRPr="001B454D">
        <w:rPr>
          <w:rFonts w:ascii="Futura Bk BT" w:hAnsi="Futura Bk BT" w:cs="Tahoma"/>
          <w:lang w:val="en-US"/>
        </w:rPr>
        <w:t>E</w:t>
      </w:r>
      <w:r w:rsidRPr="001B454D">
        <w:rPr>
          <w:rFonts w:ascii="Futura Bk BT" w:hAnsi="Futura Bk BT" w:cs="Tahoma"/>
          <w:lang w:val="en-US"/>
        </w:rPr>
        <w:t xml:space="preserve">ditorial </w:t>
      </w:r>
      <w:r w:rsidR="00356C6A" w:rsidRPr="001B454D">
        <w:rPr>
          <w:rFonts w:ascii="Futura Bk BT" w:hAnsi="Futura Bk BT" w:cs="Tahoma"/>
          <w:lang w:val="en-US"/>
        </w:rPr>
        <w:t>O</w:t>
      </w:r>
      <w:r w:rsidRPr="001B454D">
        <w:rPr>
          <w:rFonts w:ascii="Futura Bk BT" w:hAnsi="Futura Bk BT" w:cs="Tahoma"/>
          <w:lang w:val="en-US"/>
        </w:rPr>
        <w:t>ffice support</w:t>
      </w:r>
      <w:r w:rsidR="00F04FAB" w:rsidRPr="001B454D">
        <w:rPr>
          <w:rFonts w:ascii="Futura Bk BT" w:hAnsi="Futura Bk BT" w:cs="Tahoma"/>
          <w:lang w:val="en-US"/>
        </w:rPr>
        <w:t xml:space="preserve">. </w:t>
      </w:r>
      <w:r w:rsidR="00A4325A" w:rsidRPr="001B454D">
        <w:rPr>
          <w:rFonts w:ascii="Futura Bk BT" w:hAnsi="Futura Bk BT" w:cs="Tahoma"/>
          <w:lang w:val="en-US"/>
        </w:rPr>
        <w:t>The year concerns the period between one General Assembly, held annually during the ERA Congress, and the next one.</w:t>
      </w:r>
      <w:r w:rsidR="00642D31" w:rsidRPr="001B454D">
        <w:rPr>
          <w:rFonts w:ascii="Futura Bk BT" w:hAnsi="Futura Bk BT" w:cs="Tahoma"/>
          <w:lang w:val="en-US"/>
        </w:rPr>
        <w:t xml:space="preserve"> ERA is only responsible for this amount. The EiC is responsible for any taxes</w:t>
      </w:r>
      <w:r w:rsidR="007D1355" w:rsidRPr="001B454D">
        <w:rPr>
          <w:rFonts w:ascii="Futura Bk BT" w:hAnsi="Futura Bk BT" w:cs="Tahoma"/>
          <w:lang w:val="en-US"/>
        </w:rPr>
        <w:t xml:space="preserve"> etc. linked to the receipt of this amount.</w:t>
      </w:r>
      <w:r w:rsidR="00A4325A" w:rsidRPr="001B454D">
        <w:rPr>
          <w:rFonts w:ascii="Futura Bk BT" w:hAnsi="Futura Bk BT" w:cs="Tahoma"/>
          <w:lang w:val="en-US"/>
        </w:rPr>
        <w:t xml:space="preserve"> </w:t>
      </w:r>
      <w:r w:rsidR="00A00879" w:rsidRPr="001B454D">
        <w:rPr>
          <w:rFonts w:ascii="Futura" w:hAnsi="Futura" w:cs="Futura"/>
          <w:lang w:val="en-US"/>
        </w:rPr>
        <w:t>The payment schedule is outlined in appendix 2 linked to this contract.</w:t>
      </w:r>
    </w:p>
    <w:p w14:paraId="60467C22" w14:textId="342EC716" w:rsidR="007D1355" w:rsidRPr="001B454D" w:rsidRDefault="008772A8" w:rsidP="008772A8">
      <w:pPr>
        <w:pStyle w:val="Default"/>
        <w:rPr>
          <w:rFonts w:ascii="Futura" w:hAnsi="Futura" w:cs="Futura"/>
          <w:lang w:val="en-US"/>
        </w:rPr>
      </w:pPr>
      <w:r w:rsidRPr="001B454D">
        <w:rPr>
          <w:lang w:val="en-US"/>
        </w:rPr>
        <w:t>ERA also gives funds to organize a meeting (i.e. room rental/catering) as well as organizational support to host one editorial meeting a year to be held during the annual ERA Congress. The EiC receives VIP treatment during the annual ERA Congress (i.e. complimentary registration, hotel accommodation for three nights, travel expenses and invitation to the President’s Dinner). Finally, ERA covers the costs for travel/accommodation/meals of one strategic meeting to be held in person at the ERA HQ (Parma, Italy) each year as well as participation in any Council meeting to which the EiC is invited to attend by the Council.</w:t>
      </w:r>
    </w:p>
    <w:p w14:paraId="4E60AFFC" w14:textId="77777777" w:rsidR="00A00879" w:rsidRPr="001B454D" w:rsidRDefault="00A00879" w:rsidP="007D1355">
      <w:pPr>
        <w:rPr>
          <w:rFonts w:ascii="Futura Bk BT" w:hAnsi="Futura Bk BT" w:cs="Tahoma"/>
          <w:b/>
          <w:bCs/>
          <w:sz w:val="24"/>
          <w:szCs w:val="24"/>
        </w:rPr>
      </w:pPr>
    </w:p>
    <w:p w14:paraId="361950E3" w14:textId="0A50873C" w:rsidR="0076218B" w:rsidRPr="001B454D" w:rsidRDefault="00397334" w:rsidP="007D1355">
      <w:pPr>
        <w:rPr>
          <w:rFonts w:ascii="Futura Bk BT" w:hAnsi="Futura Bk BT" w:cs="Tahoma"/>
          <w:b/>
          <w:bCs/>
          <w:sz w:val="24"/>
          <w:szCs w:val="24"/>
        </w:rPr>
      </w:pPr>
      <w:r w:rsidRPr="001B454D">
        <w:rPr>
          <w:rFonts w:ascii="Futura Bk BT" w:hAnsi="Futura Bk BT" w:cs="Tahoma"/>
          <w:b/>
          <w:bCs/>
          <w:sz w:val="24"/>
          <w:szCs w:val="24"/>
        </w:rPr>
        <w:t>Publisher:</w:t>
      </w:r>
      <w:r w:rsidRPr="001B454D">
        <w:rPr>
          <w:rFonts w:ascii="Futura Bk BT" w:hAnsi="Futura Bk BT" w:cs="Tahoma"/>
          <w:b/>
          <w:bCs/>
          <w:sz w:val="24"/>
          <w:szCs w:val="24"/>
        </w:rPr>
        <w:tab/>
      </w:r>
    </w:p>
    <w:p w14:paraId="7B5C80FB" w14:textId="75EA3C54" w:rsidR="00397334" w:rsidRPr="001B454D" w:rsidRDefault="00397334" w:rsidP="007D1355">
      <w:r w:rsidRPr="001B454D">
        <w:rPr>
          <w:rFonts w:ascii="Futura Bk BT" w:hAnsi="Futura Bk BT" w:cs="Tahoma"/>
          <w:sz w:val="24"/>
          <w:szCs w:val="24"/>
        </w:rPr>
        <w:t>Oxford University Press</w:t>
      </w:r>
    </w:p>
    <w:p w14:paraId="26CD2328" w14:textId="77777777" w:rsidR="00397334" w:rsidRPr="001B454D" w:rsidRDefault="00397334" w:rsidP="00397334">
      <w:pPr>
        <w:pStyle w:val="Koptekst"/>
        <w:rPr>
          <w:rFonts w:ascii="Futura Bk BT" w:hAnsi="Futura Bk BT" w:cs="Tahoma"/>
          <w:sz w:val="24"/>
          <w:szCs w:val="24"/>
        </w:rPr>
      </w:pPr>
    </w:p>
    <w:p w14:paraId="26CA86AE" w14:textId="77777777" w:rsidR="00397334" w:rsidRPr="001B454D" w:rsidRDefault="00397334" w:rsidP="00397334">
      <w:pPr>
        <w:pStyle w:val="Koptekst"/>
        <w:rPr>
          <w:rFonts w:ascii="Futura Bk BT" w:hAnsi="Futura Bk BT" w:cs="Tahoma"/>
          <w:b/>
          <w:bCs/>
          <w:sz w:val="24"/>
          <w:szCs w:val="24"/>
          <w:u w:val="single"/>
        </w:rPr>
      </w:pPr>
      <w:r w:rsidRPr="001B454D">
        <w:rPr>
          <w:rFonts w:ascii="Futura Bk BT" w:hAnsi="Futura Bk BT" w:cs="Tahoma"/>
          <w:b/>
          <w:bCs/>
          <w:sz w:val="24"/>
          <w:szCs w:val="24"/>
          <w:u w:val="single"/>
        </w:rPr>
        <w:t>Purpose of the Role</w:t>
      </w:r>
    </w:p>
    <w:p w14:paraId="429D902F" w14:textId="77777777" w:rsidR="00397334" w:rsidRPr="001B454D" w:rsidRDefault="00397334" w:rsidP="00397334">
      <w:pPr>
        <w:pStyle w:val="Koptekst"/>
        <w:rPr>
          <w:rFonts w:ascii="Futura Bk BT" w:hAnsi="Futura Bk BT" w:cs="Tahoma"/>
          <w:sz w:val="24"/>
          <w:szCs w:val="24"/>
        </w:rPr>
      </w:pPr>
    </w:p>
    <w:p w14:paraId="750F0679" w14:textId="4BFE2B08" w:rsidR="00397334" w:rsidRPr="001B454D" w:rsidRDefault="00397334" w:rsidP="00397334">
      <w:pPr>
        <w:pStyle w:val="Koptekst"/>
        <w:rPr>
          <w:rFonts w:ascii="Futura Bk BT" w:hAnsi="Futura Bk BT" w:cs="Tahoma"/>
          <w:sz w:val="24"/>
          <w:szCs w:val="24"/>
        </w:rPr>
      </w:pPr>
      <w:r w:rsidRPr="001B454D">
        <w:rPr>
          <w:rFonts w:ascii="Futura Bk BT" w:hAnsi="Futura Bk BT" w:cs="Tahoma"/>
          <w:sz w:val="24"/>
          <w:szCs w:val="24"/>
        </w:rPr>
        <w:t xml:space="preserve">The ERA views </w:t>
      </w:r>
      <w:r w:rsidR="00FD5F77" w:rsidRPr="001B454D">
        <w:rPr>
          <w:rFonts w:ascii="Futura Bk BT" w:hAnsi="Futura Bk BT" w:cs="Tahoma"/>
          <w:iCs/>
          <w:sz w:val="24"/>
          <w:szCs w:val="24"/>
        </w:rPr>
        <w:t>NDT</w:t>
      </w:r>
      <w:r w:rsidRPr="001B454D">
        <w:rPr>
          <w:rFonts w:ascii="Futura Bk BT" w:hAnsi="Futura Bk BT" w:cs="Tahoma"/>
          <w:i/>
          <w:sz w:val="24"/>
          <w:szCs w:val="24"/>
        </w:rPr>
        <w:t xml:space="preserve"> </w:t>
      </w:r>
      <w:r w:rsidRPr="001B454D">
        <w:rPr>
          <w:rFonts w:ascii="Futura Bk BT" w:hAnsi="Futura Bk BT" w:cs="Tahoma"/>
          <w:iCs/>
          <w:sz w:val="24"/>
          <w:szCs w:val="24"/>
        </w:rPr>
        <w:t>as a key learning tool provided to its members and the nephrology community at large</w:t>
      </w:r>
      <w:r w:rsidRPr="001B454D">
        <w:rPr>
          <w:rFonts w:ascii="Futura Bk BT" w:hAnsi="Futura Bk BT" w:cs="Tahoma"/>
          <w:i/>
          <w:sz w:val="24"/>
          <w:szCs w:val="24"/>
        </w:rPr>
        <w:t xml:space="preserve"> </w:t>
      </w:r>
      <w:r w:rsidRPr="001B454D">
        <w:rPr>
          <w:rFonts w:ascii="Futura Bk BT" w:hAnsi="Futura Bk BT" w:cs="Tahoma"/>
          <w:sz w:val="24"/>
          <w:szCs w:val="24"/>
        </w:rPr>
        <w:t xml:space="preserve">and expects anyone appointed to the position of Editor-in-Chief (EiC) to approach the role with all due priority and respect. The EiC should recognise that the Journal operates in an extremely competitive environment and that authors have many choices to submit their best manuscripts; in that respect, the EiC will at all times act as a true ambassador for the Journal in all scenarios, representing the Journal, working with the Publisher, wider editorial </w:t>
      </w:r>
      <w:r w:rsidRPr="001B454D">
        <w:rPr>
          <w:rFonts w:ascii="Futura Bk BT" w:hAnsi="Futura Bk BT" w:cs="Tahoma"/>
          <w:sz w:val="24"/>
          <w:szCs w:val="24"/>
        </w:rPr>
        <w:lastRenderedPageBreak/>
        <w:t>team and ERA to raise the Journal’s profile and encouraging high-quality submissions that support the Journal’s mission.</w:t>
      </w:r>
    </w:p>
    <w:p w14:paraId="0EA246E7" w14:textId="77777777" w:rsidR="00397334" w:rsidRPr="001B454D" w:rsidRDefault="00397334" w:rsidP="00397334">
      <w:pPr>
        <w:pStyle w:val="Koptekst"/>
        <w:rPr>
          <w:rFonts w:ascii="Futura Bk BT" w:hAnsi="Futura Bk BT" w:cs="Tahoma"/>
          <w:b/>
          <w:bCs/>
          <w:sz w:val="24"/>
          <w:szCs w:val="24"/>
          <w:u w:val="single"/>
        </w:rPr>
      </w:pPr>
    </w:p>
    <w:p w14:paraId="00D17AA9" w14:textId="77777777" w:rsidR="00B74D56" w:rsidRPr="001B454D" w:rsidRDefault="00B74D56" w:rsidP="00397334">
      <w:pPr>
        <w:pStyle w:val="Koptekst"/>
        <w:rPr>
          <w:rFonts w:ascii="Futura Bk BT" w:hAnsi="Futura Bk BT" w:cs="Tahoma"/>
          <w:b/>
          <w:bCs/>
          <w:sz w:val="24"/>
          <w:szCs w:val="24"/>
          <w:u w:val="single"/>
        </w:rPr>
      </w:pPr>
      <w:bookmarkStart w:id="0" w:name="_Hlk41479808"/>
    </w:p>
    <w:p w14:paraId="0286CE29" w14:textId="13067227" w:rsidR="00397334" w:rsidRPr="001B454D" w:rsidRDefault="00397334" w:rsidP="00397334">
      <w:pPr>
        <w:pStyle w:val="Koptekst"/>
        <w:rPr>
          <w:rFonts w:ascii="Futura Bk BT" w:hAnsi="Futura Bk BT" w:cs="Tahoma"/>
          <w:b/>
          <w:bCs/>
          <w:sz w:val="24"/>
          <w:szCs w:val="24"/>
          <w:u w:val="single"/>
        </w:rPr>
      </w:pPr>
      <w:r w:rsidRPr="001B454D">
        <w:rPr>
          <w:rFonts w:ascii="Futura Bk BT" w:hAnsi="Futura Bk BT" w:cs="Tahoma"/>
          <w:b/>
          <w:bCs/>
          <w:sz w:val="24"/>
          <w:szCs w:val="24"/>
          <w:u w:val="single"/>
        </w:rPr>
        <w:t>Responsibilities, Procedures, Duties</w:t>
      </w:r>
    </w:p>
    <w:bookmarkEnd w:id="0"/>
    <w:p w14:paraId="089F9DE4" w14:textId="77777777" w:rsidR="00397334" w:rsidRPr="001B454D" w:rsidRDefault="00397334" w:rsidP="00397334">
      <w:pPr>
        <w:pStyle w:val="Koptekst"/>
        <w:rPr>
          <w:rFonts w:ascii="Futura Bk BT" w:hAnsi="Futura Bk BT" w:cs="Tahoma"/>
          <w:b/>
          <w:bCs/>
          <w:sz w:val="24"/>
          <w:szCs w:val="24"/>
          <w:u w:val="single"/>
        </w:rPr>
      </w:pPr>
    </w:p>
    <w:p w14:paraId="6E78E0A3"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is responsible for ensuring that content of the Journal is accurate, credible, authoritative, relevant to the Journal’s scope and mission, readable, and comprehensible. The EiC is responsible for setting and communicating Journal policies regarding authorship, conflict of interest, ethical conduct of research, and academic misconduct. ERA recognises and respects the editorial freedom of the EiC, based on both authority and autonomy.</w:t>
      </w:r>
    </w:p>
    <w:p w14:paraId="2E4EAF83" w14:textId="77777777" w:rsidR="00397334" w:rsidRPr="001B454D" w:rsidRDefault="00397334" w:rsidP="00397334">
      <w:pPr>
        <w:numPr>
          <w:ilvl w:val="0"/>
          <w:numId w:val="2"/>
        </w:numPr>
        <w:spacing w:after="200" w:line="276" w:lineRule="auto"/>
        <w:rPr>
          <w:rFonts w:ascii="Futura Bk BT" w:hAnsi="Futura Bk BT" w:cs="Tahoma"/>
          <w:iCs/>
          <w:sz w:val="24"/>
          <w:szCs w:val="24"/>
        </w:rPr>
      </w:pPr>
      <w:r w:rsidRPr="001B454D">
        <w:rPr>
          <w:rFonts w:ascii="Futura Bk BT" w:hAnsi="Futura Bk BT" w:cs="Tahoma"/>
          <w:iCs/>
          <w:sz w:val="24"/>
          <w:szCs w:val="24"/>
        </w:rPr>
        <w:t xml:space="preserve">The EiC recognises and respects the role of the ERA Council in setting the over-arching mission of the Journal and that the editorial responsibilities awarded with this role are ultimately in the light of ERA’s overall mission and vision (see appendix I below which is an integral part of this document). </w:t>
      </w:r>
    </w:p>
    <w:p w14:paraId="1BB00B49"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shall recognise that scientific and editorial ethics are founded upon integrity, competence, and a responsibility to protect the communal and public interest.</w:t>
      </w:r>
    </w:p>
    <w:p w14:paraId="4BADA910"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is responsible for selecting manuscripts that are new, original, and important contributions to knowledge. Published manuscripts are expected to present valid and reproducible results in sufficient detail for readers to assess the validity of the inferences drawn.</w:t>
      </w:r>
    </w:p>
    <w:p w14:paraId="603BB7D5" w14:textId="4CCBD66B" w:rsidR="00397334" w:rsidRPr="001B454D" w:rsidRDefault="00397334" w:rsidP="00397334">
      <w:pPr>
        <w:numPr>
          <w:ilvl w:val="0"/>
          <w:numId w:val="2"/>
        </w:numPr>
        <w:spacing w:after="200" w:line="276" w:lineRule="auto"/>
        <w:rPr>
          <w:rFonts w:ascii="Futura Bk BT" w:hAnsi="Futura Bk BT" w:cs="Tahoma"/>
          <w:iCs/>
          <w:sz w:val="24"/>
          <w:szCs w:val="24"/>
        </w:rPr>
      </w:pPr>
      <w:r w:rsidRPr="001B454D">
        <w:rPr>
          <w:rFonts w:ascii="Futura Bk BT" w:hAnsi="Futura Bk BT" w:cs="Tahoma"/>
          <w:iCs/>
          <w:sz w:val="24"/>
          <w:szCs w:val="24"/>
        </w:rPr>
        <w:t xml:space="preserve">The EiC shall at all times be aware that ERA’s </w:t>
      </w:r>
      <w:r w:rsidR="00381163" w:rsidRPr="001B454D">
        <w:rPr>
          <w:rFonts w:ascii="Futura Bk BT" w:hAnsi="Futura Bk BT" w:cs="Tahoma"/>
          <w:iCs/>
          <w:sz w:val="24"/>
          <w:szCs w:val="24"/>
        </w:rPr>
        <w:t>m</w:t>
      </w:r>
      <w:r w:rsidRPr="001B454D">
        <w:rPr>
          <w:rFonts w:ascii="Futura Bk BT" w:hAnsi="Futura Bk BT" w:cs="Tahoma"/>
          <w:iCs/>
          <w:sz w:val="24"/>
          <w:szCs w:val="24"/>
        </w:rPr>
        <w:t>embers and other readers of the Journal demand the highest standards of clinical research; as such, reports from large, robust clinical trials are likely to be high priority manuscripts for consideration and the EiC should stimulate submission of such manuscripts either directly or via the wider editorial team.</w:t>
      </w:r>
    </w:p>
    <w:p w14:paraId="7D9AF748" w14:textId="233FA915" w:rsidR="00F6215E" w:rsidRPr="001B454D" w:rsidRDefault="00397334" w:rsidP="00F6215E">
      <w:pPr>
        <w:pStyle w:val="Tekstopmerking"/>
        <w:numPr>
          <w:ilvl w:val="0"/>
          <w:numId w:val="2"/>
        </w:numPr>
        <w:rPr>
          <w:rFonts w:ascii="Futura Bk BT" w:hAnsi="Futura Bk BT" w:cs="Tahoma"/>
          <w:sz w:val="24"/>
          <w:szCs w:val="24"/>
          <w:lang w:val="en-GB"/>
        </w:rPr>
      </w:pPr>
      <w:r w:rsidRPr="001B454D">
        <w:rPr>
          <w:rFonts w:ascii="Futura Bk BT" w:hAnsi="Futura Bk BT" w:cs="Tahoma"/>
          <w:sz w:val="24"/>
          <w:szCs w:val="24"/>
          <w:lang w:val="en-GB"/>
        </w:rPr>
        <w:t xml:space="preserve">The EiC is free to utilize the expertise of other Editors such as Deputy Editors, Associate Editors, Editors-at-large, Statistical Editors, Visualization Experts, Patient-Voice Editors, Perspective Editors, Feature Editors, Policy Editors, Letter Editors, Engagement Editors, International Editors and Editorial </w:t>
      </w:r>
      <w:r w:rsidR="00356C6A" w:rsidRPr="001B454D">
        <w:rPr>
          <w:rFonts w:ascii="Futura Bk BT" w:hAnsi="Futura Bk BT" w:cs="Tahoma"/>
          <w:sz w:val="24"/>
          <w:szCs w:val="24"/>
          <w:lang w:val="en-GB"/>
        </w:rPr>
        <w:t>B</w:t>
      </w:r>
      <w:r w:rsidRPr="001B454D">
        <w:rPr>
          <w:rFonts w:ascii="Futura Bk BT" w:hAnsi="Futura Bk BT" w:cs="Tahoma"/>
          <w:sz w:val="24"/>
          <w:szCs w:val="24"/>
          <w:lang w:val="en-GB"/>
        </w:rPr>
        <w:t xml:space="preserve">oard members, other peer reviewers and editorial staff in critiquing and selecting manuscripts for publication. This remit also extends to proactively commissioning manuscript submissions in areas identified in the Journal’s editorial strategy. The EiC may delegate manuscript selection to other members of the </w:t>
      </w:r>
      <w:r w:rsidR="000A4912" w:rsidRPr="001B454D">
        <w:rPr>
          <w:rFonts w:ascii="Futura Bk BT" w:hAnsi="Futura Bk BT" w:cs="Tahoma"/>
          <w:sz w:val="24"/>
          <w:szCs w:val="24"/>
          <w:lang w:val="en-GB"/>
        </w:rPr>
        <w:t>e</w:t>
      </w:r>
      <w:r w:rsidRPr="001B454D">
        <w:rPr>
          <w:rFonts w:ascii="Futura Bk BT" w:hAnsi="Futura Bk BT" w:cs="Tahoma"/>
          <w:sz w:val="24"/>
          <w:szCs w:val="24"/>
          <w:lang w:val="en-GB"/>
        </w:rPr>
        <w:t>ditorial team. However, the EiC remains the final arbiter and person responsible for all material published in the Journal</w:t>
      </w:r>
      <w:r w:rsidR="004F2E0D" w:rsidRPr="001B454D">
        <w:rPr>
          <w:rFonts w:ascii="Futura Bk BT" w:hAnsi="Futura Bk BT" w:cs="Tahoma"/>
          <w:sz w:val="24"/>
          <w:szCs w:val="24"/>
          <w:lang w:val="en-GB"/>
        </w:rPr>
        <w:t>.</w:t>
      </w:r>
    </w:p>
    <w:p w14:paraId="1DA7D572" w14:textId="77777777" w:rsidR="00F6215E" w:rsidRPr="001B454D" w:rsidRDefault="00F6215E" w:rsidP="00F6215E">
      <w:pPr>
        <w:pStyle w:val="Tekstopmerking"/>
        <w:rPr>
          <w:rFonts w:ascii="Futura Bk BT" w:hAnsi="Futura Bk BT" w:cs="Tahoma"/>
          <w:sz w:val="24"/>
          <w:szCs w:val="24"/>
          <w:lang w:val="en-GB"/>
        </w:rPr>
      </w:pPr>
    </w:p>
    <w:p w14:paraId="4F3B0301" w14:textId="77777777" w:rsidR="00397334" w:rsidRPr="001B454D" w:rsidRDefault="00397334" w:rsidP="00FD702C">
      <w:pPr>
        <w:pStyle w:val="Tekstopmerking"/>
        <w:rPr>
          <w:rFonts w:ascii="Futura Bk BT" w:hAnsi="Futura Bk BT" w:cs="Tahoma"/>
          <w:sz w:val="24"/>
          <w:szCs w:val="24"/>
          <w:lang w:val="en-GB"/>
        </w:rPr>
      </w:pPr>
    </w:p>
    <w:p w14:paraId="25EF1ED9" w14:textId="73F4A4BE"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will ensure that peer review and other related publication assignments are undertaken by qualified specialists, and that these specialists disclose relevant conflicts of interest as part of the regular review process. The Editor will also ensure that authors disclose relevant conflicts of interest in the publications.</w:t>
      </w:r>
      <w:r w:rsidR="00FE2E20" w:rsidRPr="001B454D">
        <w:rPr>
          <w:rFonts w:ascii="Futura Bk BT" w:hAnsi="Futura Bk BT" w:cs="Tahoma"/>
          <w:sz w:val="24"/>
          <w:szCs w:val="24"/>
        </w:rPr>
        <w:t xml:space="preserve"> If the EiC is the author of a paper, he/she cannot be involved in the peer review process which, in any case, must always be done.</w:t>
      </w:r>
    </w:p>
    <w:p w14:paraId="617F2A5F" w14:textId="77777777" w:rsidR="00397334" w:rsidRPr="001B454D" w:rsidRDefault="00397334" w:rsidP="00397334">
      <w:pPr>
        <w:pStyle w:val="Lijstalinea"/>
        <w:rPr>
          <w:rFonts w:ascii="Futura Bk BT" w:hAnsi="Futura Bk BT" w:cs="Tahoma"/>
          <w:szCs w:val="24"/>
          <w:lang w:val="en-GB"/>
        </w:rPr>
      </w:pPr>
    </w:p>
    <w:p w14:paraId="6689598C" w14:textId="7C61C8BB"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 xml:space="preserve">At the beginning of his/her mandate, the EiC shall renew the team of </w:t>
      </w:r>
      <w:r w:rsidR="00381163" w:rsidRPr="001B454D">
        <w:rPr>
          <w:rFonts w:ascii="Futura Bk BT" w:hAnsi="Futura Bk BT" w:cs="Tahoma"/>
          <w:sz w:val="24"/>
          <w:szCs w:val="24"/>
        </w:rPr>
        <w:t>A</w:t>
      </w:r>
      <w:r w:rsidRPr="001B454D">
        <w:rPr>
          <w:rFonts w:ascii="Futura Bk BT" w:hAnsi="Futura Bk BT" w:cs="Tahoma"/>
          <w:sz w:val="24"/>
          <w:szCs w:val="24"/>
        </w:rPr>
        <w:t xml:space="preserve">ssociate </w:t>
      </w:r>
      <w:r w:rsidR="00381163" w:rsidRPr="001B454D">
        <w:rPr>
          <w:rFonts w:ascii="Futura Bk BT" w:hAnsi="Futura Bk BT" w:cs="Tahoma"/>
          <w:sz w:val="24"/>
          <w:szCs w:val="24"/>
        </w:rPr>
        <w:t>E</w:t>
      </w:r>
      <w:r w:rsidRPr="001B454D">
        <w:rPr>
          <w:rFonts w:ascii="Futura Bk BT" w:hAnsi="Futura Bk BT" w:cs="Tahoma"/>
          <w:sz w:val="24"/>
          <w:szCs w:val="24"/>
        </w:rPr>
        <w:t>ditors/</w:t>
      </w:r>
      <w:r w:rsidR="00381163" w:rsidRPr="001B454D">
        <w:rPr>
          <w:rFonts w:ascii="Futura Bk BT" w:hAnsi="Futura Bk BT" w:cs="Tahoma"/>
          <w:sz w:val="24"/>
          <w:szCs w:val="24"/>
        </w:rPr>
        <w:t>Theme E</w:t>
      </w:r>
      <w:r w:rsidRPr="001B454D">
        <w:rPr>
          <w:rFonts w:ascii="Futura Bk BT" w:hAnsi="Futura Bk BT" w:cs="Tahoma"/>
          <w:sz w:val="24"/>
          <w:szCs w:val="24"/>
        </w:rPr>
        <w:t>ditors (preferentially from Europe) including also experts from new fields (i.e. like omics) and is responsible for their replacement if inactive.</w:t>
      </w:r>
    </w:p>
    <w:p w14:paraId="200C34BE" w14:textId="77777777" w:rsidR="0096701C" w:rsidRPr="001B454D" w:rsidRDefault="0096701C" w:rsidP="0096701C">
      <w:pPr>
        <w:pStyle w:val="Lijstalinea"/>
        <w:rPr>
          <w:rFonts w:ascii="Futura Bk BT" w:hAnsi="Futura Bk BT" w:cs="Tahoma"/>
          <w:szCs w:val="24"/>
        </w:rPr>
      </w:pPr>
    </w:p>
    <w:p w14:paraId="685E75AF" w14:textId="77777777" w:rsidR="00A869ED" w:rsidRPr="001B454D" w:rsidRDefault="0096701C" w:rsidP="00A869ED">
      <w:pPr>
        <w:pStyle w:val="Tekstopmerking"/>
        <w:numPr>
          <w:ilvl w:val="0"/>
          <w:numId w:val="2"/>
        </w:numPr>
        <w:rPr>
          <w:rFonts w:ascii="Futura Bk BT" w:hAnsi="Futura Bk BT" w:cs="Tahoma"/>
          <w:sz w:val="24"/>
          <w:szCs w:val="24"/>
          <w:lang w:val="en-GB"/>
        </w:rPr>
      </w:pPr>
      <w:r w:rsidRPr="001B454D">
        <w:rPr>
          <w:rFonts w:ascii="Futura Bk BT" w:hAnsi="Futura Bk BT" w:cs="Tahoma"/>
          <w:sz w:val="24"/>
          <w:szCs w:val="24"/>
          <w:lang w:val="en-GB"/>
        </w:rPr>
        <w:t xml:space="preserve">The EiC will select Editors for his/her Editorial Board that are not yet Members of the </w:t>
      </w:r>
      <w:r w:rsidR="00A869ED" w:rsidRPr="001B454D">
        <w:rPr>
          <w:rFonts w:ascii="Futura Bk BT" w:hAnsi="Futura Bk BT" w:cs="Tahoma"/>
          <w:sz w:val="24"/>
          <w:szCs w:val="24"/>
          <w:lang w:val="en-GB"/>
        </w:rPr>
        <w:t>CKJ</w:t>
      </w:r>
      <w:r w:rsidRPr="001B454D">
        <w:rPr>
          <w:rFonts w:ascii="Futura Bk BT" w:hAnsi="Futura Bk BT" w:cs="Tahoma"/>
          <w:sz w:val="24"/>
          <w:szCs w:val="24"/>
          <w:lang w:val="en-GB"/>
        </w:rPr>
        <w:t xml:space="preserve"> Editorial Board. The two Boards must be completely different and independent.</w:t>
      </w:r>
    </w:p>
    <w:p w14:paraId="0AD5AB92" w14:textId="77777777" w:rsidR="00A869ED" w:rsidRPr="001B454D" w:rsidRDefault="00A869ED" w:rsidP="00A869ED">
      <w:pPr>
        <w:pStyle w:val="Lijstalinea"/>
        <w:rPr>
          <w:rFonts w:ascii="Futura Bk BT" w:hAnsi="Futura Bk BT" w:cs="Tahoma"/>
          <w:iCs/>
          <w:szCs w:val="24"/>
        </w:rPr>
      </w:pPr>
    </w:p>
    <w:p w14:paraId="3E3D444C" w14:textId="4223B038" w:rsidR="00397334" w:rsidRPr="001B454D" w:rsidRDefault="00397334" w:rsidP="00A869ED">
      <w:pPr>
        <w:pStyle w:val="Tekstopmerking"/>
        <w:numPr>
          <w:ilvl w:val="0"/>
          <w:numId w:val="2"/>
        </w:numPr>
        <w:rPr>
          <w:rFonts w:ascii="Futura Bk BT" w:hAnsi="Futura Bk BT" w:cs="Tahoma"/>
          <w:sz w:val="24"/>
          <w:szCs w:val="24"/>
          <w:lang w:val="en-GB"/>
        </w:rPr>
      </w:pPr>
      <w:r w:rsidRPr="001B454D">
        <w:rPr>
          <w:rFonts w:ascii="Futura Bk BT" w:hAnsi="Futura Bk BT" w:cs="Tahoma"/>
          <w:iCs/>
          <w:sz w:val="24"/>
          <w:szCs w:val="24"/>
        </w:rPr>
        <w:t>The EiC is not responsible for the content of Congress abstract supplements which must be peer reviewed by the appropriate Paper Selection Committee of the conference in question. However, the EiC should feel free to raise concerns with the overall quality of a particular conference if that may have an impact on the quality of the abstracts published.</w:t>
      </w:r>
    </w:p>
    <w:p w14:paraId="6E2C2650" w14:textId="77777777" w:rsidR="00A869ED" w:rsidRPr="001B454D" w:rsidRDefault="00A869ED" w:rsidP="00A869ED">
      <w:pPr>
        <w:pStyle w:val="Tekstopmerking"/>
        <w:rPr>
          <w:rFonts w:ascii="Futura Bk BT" w:hAnsi="Futura Bk BT" w:cs="Tahoma"/>
          <w:sz w:val="24"/>
          <w:szCs w:val="24"/>
          <w:lang w:val="en-GB"/>
        </w:rPr>
      </w:pPr>
    </w:p>
    <w:p w14:paraId="4F71FBCA" w14:textId="77777777" w:rsidR="00397334" w:rsidRPr="001B454D" w:rsidRDefault="00397334" w:rsidP="00397334">
      <w:pPr>
        <w:numPr>
          <w:ilvl w:val="0"/>
          <w:numId w:val="2"/>
        </w:numPr>
        <w:spacing w:after="200" w:line="276" w:lineRule="auto"/>
        <w:rPr>
          <w:rFonts w:ascii="Futura Bk BT" w:hAnsi="Futura Bk BT" w:cs="Tahoma"/>
          <w:i/>
          <w:iCs/>
          <w:sz w:val="24"/>
          <w:szCs w:val="24"/>
        </w:rPr>
      </w:pPr>
      <w:r w:rsidRPr="001B454D">
        <w:rPr>
          <w:rFonts w:ascii="Futura Bk BT" w:hAnsi="Futura Bk BT" w:cs="Tahoma"/>
          <w:sz w:val="24"/>
          <w:szCs w:val="24"/>
        </w:rPr>
        <w:t xml:space="preserve">The EiC is responsible for clearly defining and implementing the Journal’s ethical standards. The EiC is not responsible for investigating, judging, or punishing the author for ethical lapses, other than deciding if authors should be barred from submission to the Journal when academic misconduct has been documented. </w:t>
      </w:r>
    </w:p>
    <w:p w14:paraId="62D5489A"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is responsible for establishing procedures to help maintain Journal quality, identify errors and problems, detect trends that reflect deterioration in quality, and implement corrective actions as needed.</w:t>
      </w:r>
    </w:p>
    <w:p w14:paraId="2B4F1C14" w14:textId="36E38BB4"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is responsible for monitoring editorial processing and production timelines (turn-around times for every stage from manuscript receipt to publication). This shall include monitoring acceptance and rejection rates of specific types of manuscripts, managing the inventory of accepted manuscripts, tracking reviewer performance, and assessing editorial support needs.</w:t>
      </w:r>
    </w:p>
    <w:p w14:paraId="0D00F644" w14:textId="6320C997" w:rsidR="006528A0" w:rsidRPr="001B454D" w:rsidRDefault="006528A0" w:rsidP="00397334">
      <w:pPr>
        <w:numPr>
          <w:ilvl w:val="0"/>
          <w:numId w:val="2"/>
        </w:numPr>
        <w:spacing w:after="200" w:line="276" w:lineRule="auto"/>
        <w:rPr>
          <w:rFonts w:ascii="Futura Bk BT" w:hAnsi="Futura Bk BT" w:cs="Tahoma"/>
          <w:sz w:val="24"/>
          <w:szCs w:val="24"/>
        </w:rPr>
      </w:pPr>
      <w:r w:rsidRPr="001B454D">
        <w:rPr>
          <w:rFonts w:ascii="Futura Bk BT" w:hAnsi="Futura Bk BT" w:cs="Tahoma"/>
          <w:color w:val="000000"/>
          <w:sz w:val="24"/>
          <w:szCs w:val="24"/>
          <w:lang w:val="en-US"/>
        </w:rPr>
        <w:lastRenderedPageBreak/>
        <w:t xml:space="preserve">The EiC must follow-up on the </w:t>
      </w:r>
      <w:r w:rsidR="00356C6A" w:rsidRPr="001B454D">
        <w:rPr>
          <w:rFonts w:ascii="Futura Bk BT" w:hAnsi="Futura Bk BT" w:cs="Tahoma"/>
          <w:color w:val="000000"/>
          <w:sz w:val="24"/>
          <w:szCs w:val="24"/>
          <w:lang w:val="en-US"/>
        </w:rPr>
        <w:t>J</w:t>
      </w:r>
      <w:r w:rsidRPr="001B454D">
        <w:rPr>
          <w:rFonts w:ascii="Futura Bk BT" w:hAnsi="Futura Bk BT" w:cs="Tahoma"/>
          <w:color w:val="000000"/>
          <w:sz w:val="24"/>
          <w:szCs w:val="24"/>
          <w:lang w:val="en-US"/>
        </w:rPr>
        <w:t>ournal’s activities (ManuscriptCentral, e-mails from Editorial Office/Publisher, etc.) ideally on a daily basis, but definitely at least three days per week.</w:t>
      </w:r>
    </w:p>
    <w:p w14:paraId="7A93D33B" w14:textId="7EF543FB" w:rsidR="00D548E2" w:rsidRPr="001B454D" w:rsidRDefault="00D548E2" w:rsidP="00D548E2">
      <w:pPr>
        <w:pStyle w:val="Tekstopmerking"/>
        <w:numPr>
          <w:ilvl w:val="0"/>
          <w:numId w:val="2"/>
        </w:numPr>
        <w:rPr>
          <w:rFonts w:ascii="Futura Bk BT" w:hAnsi="Futura Bk BT" w:cs="Tahoma"/>
          <w:sz w:val="24"/>
          <w:szCs w:val="24"/>
          <w:lang w:val="en-GB"/>
        </w:rPr>
      </w:pPr>
      <w:r w:rsidRPr="001B454D">
        <w:rPr>
          <w:rFonts w:ascii="Futura Bk BT" w:hAnsi="Futura Bk BT" w:cs="Tahoma"/>
          <w:sz w:val="24"/>
          <w:szCs w:val="24"/>
          <w:lang w:val="en-GB"/>
        </w:rPr>
        <w:t>During prolonged vacations, the EiC can arrange that the Associate Editors temporarily take over his/her tasks.</w:t>
      </w:r>
    </w:p>
    <w:p w14:paraId="223DFCC8" w14:textId="77777777" w:rsidR="00D548E2" w:rsidRPr="001B454D" w:rsidRDefault="00D548E2" w:rsidP="00FD702C">
      <w:pPr>
        <w:pStyle w:val="Tekstopmerking"/>
        <w:ind w:left="720"/>
        <w:rPr>
          <w:rFonts w:ascii="Futura Bk BT" w:hAnsi="Futura Bk BT" w:cs="Tahoma"/>
          <w:sz w:val="24"/>
          <w:szCs w:val="24"/>
          <w:lang w:val="en-GB"/>
        </w:rPr>
      </w:pPr>
    </w:p>
    <w:p w14:paraId="14F506D5" w14:textId="00AD2213"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is not responsible for certain features/content of the Journal, such as advertising and graphic design.</w:t>
      </w:r>
    </w:p>
    <w:p w14:paraId="1713CB82" w14:textId="3E20E09E"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 xml:space="preserve">The EiC will work with the staff appointed by the ERA to oversee the operation of the </w:t>
      </w:r>
      <w:r w:rsidR="00356C6A" w:rsidRPr="001B454D">
        <w:rPr>
          <w:rFonts w:ascii="Futura Bk BT" w:hAnsi="Futura Bk BT" w:cs="Tahoma"/>
          <w:sz w:val="24"/>
          <w:szCs w:val="24"/>
        </w:rPr>
        <w:t>E</w:t>
      </w:r>
      <w:r w:rsidRPr="001B454D">
        <w:rPr>
          <w:rFonts w:ascii="Futura Bk BT" w:hAnsi="Futura Bk BT" w:cs="Tahoma"/>
          <w:sz w:val="24"/>
          <w:szCs w:val="24"/>
        </w:rPr>
        <w:t xml:space="preserve">ditorial </w:t>
      </w:r>
      <w:r w:rsidR="00356C6A" w:rsidRPr="001B454D">
        <w:rPr>
          <w:rFonts w:ascii="Futura Bk BT" w:hAnsi="Futura Bk BT" w:cs="Tahoma"/>
          <w:sz w:val="24"/>
          <w:szCs w:val="24"/>
        </w:rPr>
        <w:t>O</w:t>
      </w:r>
      <w:r w:rsidRPr="001B454D">
        <w:rPr>
          <w:rFonts w:ascii="Futura Bk BT" w:hAnsi="Futura Bk BT" w:cs="Tahoma"/>
          <w:sz w:val="24"/>
          <w:szCs w:val="24"/>
        </w:rPr>
        <w:t>ffice.</w:t>
      </w:r>
    </w:p>
    <w:p w14:paraId="6D73018E"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will act professionally, without prejudice or conflict of interest. The EiC will not allow his/her editorial judgment to be influenced by political, commercial and other considerations that are beyond the scope of each scientific report and analysis of possible impacts and applications.</w:t>
      </w:r>
    </w:p>
    <w:p w14:paraId="700FA1CA"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will not disclose confidential information unless authorised by the source of that information, or there are allegations of misconduct that require access to that confidential information for proper investigation, or the EiC is required by law to disclose that information.</w:t>
      </w:r>
    </w:p>
    <w:p w14:paraId="22BEB04E"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shall refrain from using confidential information for personal gain, and shall take reasonable steps to ensure that such information is not used for the advantage of other parties.</w:t>
      </w:r>
    </w:p>
    <w:p w14:paraId="087E65CC"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shall conduct at least one Editorial Board meeting each year, during which the EiC will provide the Editorial Board with an update on the Journal, identify and discuss areas in need of performance improvement; and explore ideas for potential enhancements to the Journal.</w:t>
      </w:r>
    </w:p>
    <w:p w14:paraId="74140531" w14:textId="6511E8FF"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 xml:space="preserve">The EiC shall conduct one Editorial Board meeting on a weekly basis with selected Board members to discuss more in detail the content of the upcoming issues and any </w:t>
      </w:r>
      <w:r w:rsidRPr="001B454D">
        <w:rPr>
          <w:rFonts w:ascii="Futura Bk BT" w:hAnsi="Futura Bk BT" w:cs="Tahoma"/>
          <w:b/>
          <w:bCs/>
          <w:sz w:val="24"/>
          <w:szCs w:val="24"/>
        </w:rPr>
        <w:t>outstanding</w:t>
      </w:r>
      <w:r w:rsidRPr="001B454D">
        <w:rPr>
          <w:rFonts w:ascii="Futura Bk BT" w:hAnsi="Futura Bk BT" w:cs="Tahoma"/>
          <w:sz w:val="24"/>
          <w:szCs w:val="24"/>
        </w:rPr>
        <w:t xml:space="preserve"> problems (i.e. the non-triaged papers</w:t>
      </w:r>
      <w:r w:rsidR="00CA5735" w:rsidRPr="001B454D">
        <w:rPr>
          <w:rFonts w:ascii="Futura Bk BT" w:hAnsi="Futura Bk BT" w:cs="Tahoma"/>
          <w:sz w:val="24"/>
          <w:szCs w:val="24"/>
        </w:rPr>
        <w:t>,</w:t>
      </w:r>
      <w:r w:rsidRPr="001B454D">
        <w:rPr>
          <w:rFonts w:ascii="Futura Bk BT" w:hAnsi="Futura Bk BT" w:cs="Tahoma"/>
          <w:sz w:val="24"/>
          <w:szCs w:val="24"/>
        </w:rPr>
        <w:t xml:space="preserve"> triaged papers, comments by reviewers, etc.). </w:t>
      </w:r>
    </w:p>
    <w:p w14:paraId="1E1A8F67"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EiC shall present a detailed report of the Journal’s performance to the ERA Council each year (preferably at the Spring Council Meeting), written and in person, during which the EiC will provide an update on the Journal, its performance and present any ideas for potential enhancements.</w:t>
      </w:r>
    </w:p>
    <w:p w14:paraId="7BFC33F0" w14:textId="77777777" w:rsidR="00397334" w:rsidRPr="001B454D" w:rsidRDefault="00397334" w:rsidP="00397334">
      <w:pPr>
        <w:numPr>
          <w:ilvl w:val="0"/>
          <w:numId w:val="2"/>
        </w:numPr>
        <w:spacing w:after="200" w:line="276" w:lineRule="auto"/>
        <w:rPr>
          <w:rFonts w:ascii="Futura Bk BT" w:hAnsi="Futura Bk BT" w:cs="Tahoma"/>
          <w:sz w:val="24"/>
          <w:szCs w:val="24"/>
        </w:rPr>
      </w:pPr>
      <w:r w:rsidRPr="001B454D">
        <w:rPr>
          <w:rFonts w:ascii="Futura Bk BT" w:hAnsi="Futura Bk BT" w:cs="Tahoma"/>
          <w:sz w:val="24"/>
          <w:szCs w:val="24"/>
        </w:rPr>
        <w:t>The ERA may immediately terminate the appointment given to the EiC on written notice to the EiC in any of the following events:</w:t>
      </w:r>
    </w:p>
    <w:p w14:paraId="15617002" w14:textId="77777777" w:rsidR="00397334" w:rsidRPr="001B454D" w:rsidRDefault="00397334" w:rsidP="00397334">
      <w:pPr>
        <w:pStyle w:val="OUPLegalParagraph11"/>
        <w:numPr>
          <w:ilvl w:val="2"/>
          <w:numId w:val="2"/>
        </w:numPr>
        <w:rPr>
          <w:rFonts w:ascii="Futura Bk BT" w:hAnsi="Futura Bk BT" w:cs="Tahoma"/>
          <w:sz w:val="24"/>
          <w:szCs w:val="24"/>
        </w:rPr>
      </w:pPr>
      <w:r w:rsidRPr="001B454D">
        <w:rPr>
          <w:rFonts w:ascii="Futura Bk BT" w:hAnsi="Futura Bk BT" w:cs="Tahoma"/>
          <w:sz w:val="24"/>
          <w:szCs w:val="24"/>
        </w:rPr>
        <w:lastRenderedPageBreak/>
        <w:t>the EiC commits any serious or persistent breach of his/her obligations outlined in this document including extremely poor performance of the management of the Journal and/or its performance (i.e. not reaching the minimum set objectives);</w:t>
      </w:r>
    </w:p>
    <w:p w14:paraId="5612ACE8" w14:textId="77777777" w:rsidR="00397334" w:rsidRPr="001B454D" w:rsidRDefault="00397334" w:rsidP="00397334">
      <w:pPr>
        <w:pStyle w:val="OUPLegalParagraph111"/>
        <w:numPr>
          <w:ilvl w:val="2"/>
          <w:numId w:val="2"/>
        </w:numPr>
        <w:rPr>
          <w:rFonts w:ascii="Futura Bk BT" w:hAnsi="Futura Bk BT" w:cs="Tahoma"/>
          <w:sz w:val="24"/>
          <w:szCs w:val="24"/>
        </w:rPr>
      </w:pPr>
      <w:r w:rsidRPr="001B454D">
        <w:rPr>
          <w:rFonts w:ascii="Futura Bk BT" w:hAnsi="Futura Bk BT" w:cs="Tahoma"/>
          <w:sz w:val="24"/>
          <w:szCs w:val="24"/>
        </w:rPr>
        <w:t>the EiC is guilty of dishonesty, serious misconduct, incompetence, wilful neglect of his/her duties, or does anything that in any way damages or threatens to damage the reputation of the Journal or the ERA; or</w:t>
      </w:r>
    </w:p>
    <w:p w14:paraId="25801241" w14:textId="77777777" w:rsidR="00397334" w:rsidRPr="001B454D" w:rsidRDefault="00397334" w:rsidP="00397334">
      <w:pPr>
        <w:pStyle w:val="OUPLegalParagraph111"/>
        <w:numPr>
          <w:ilvl w:val="2"/>
          <w:numId w:val="2"/>
        </w:numPr>
        <w:rPr>
          <w:rFonts w:ascii="Futura Bk BT" w:hAnsi="Futura Bk BT" w:cs="Tahoma"/>
          <w:sz w:val="24"/>
          <w:szCs w:val="24"/>
        </w:rPr>
      </w:pPr>
      <w:r w:rsidRPr="001B454D">
        <w:rPr>
          <w:rFonts w:ascii="Futura Bk BT" w:hAnsi="Futura Bk BT" w:cs="Tahoma"/>
          <w:sz w:val="24"/>
          <w:szCs w:val="24"/>
        </w:rPr>
        <w:t>the EiC is or becomes, through illness, injury or otherwise, incapable of performing the whole or any substantial part of the Editor’s duties under this Agreement for any material time.</w:t>
      </w:r>
    </w:p>
    <w:p w14:paraId="3D491683" w14:textId="77777777" w:rsidR="00397334" w:rsidRPr="001B454D" w:rsidRDefault="00397334" w:rsidP="00397334">
      <w:pPr>
        <w:spacing w:after="200" w:line="276" w:lineRule="auto"/>
        <w:rPr>
          <w:rFonts w:ascii="Futura Bk BT" w:hAnsi="Futura Bk BT" w:cs="Tahoma"/>
          <w:b/>
          <w:bCs/>
          <w:sz w:val="24"/>
          <w:szCs w:val="24"/>
        </w:rPr>
      </w:pPr>
    </w:p>
    <w:p w14:paraId="37F183B2" w14:textId="2CFE32A7" w:rsidR="00397334" w:rsidRPr="001B454D" w:rsidRDefault="00397334" w:rsidP="00397334">
      <w:pPr>
        <w:spacing w:after="200" w:line="276" w:lineRule="auto"/>
        <w:rPr>
          <w:rFonts w:ascii="Futura Bk BT" w:hAnsi="Futura Bk BT" w:cs="Tahoma"/>
          <w:b/>
          <w:bCs/>
          <w:sz w:val="24"/>
          <w:szCs w:val="24"/>
        </w:rPr>
      </w:pPr>
      <w:r w:rsidRPr="001B454D">
        <w:rPr>
          <w:rFonts w:ascii="Futura Bk BT" w:hAnsi="Futura Bk BT" w:cs="Tahoma"/>
          <w:b/>
          <w:bCs/>
          <w:sz w:val="24"/>
          <w:szCs w:val="24"/>
        </w:rPr>
        <w:t>Focus and content of the Journal (the following list is non-exhaustive)</w:t>
      </w:r>
      <w:r w:rsidR="00086333" w:rsidRPr="001B454D">
        <w:rPr>
          <w:rFonts w:ascii="Futura Bk BT" w:hAnsi="Futura Bk BT" w:cs="Tahoma"/>
          <w:b/>
          <w:bCs/>
          <w:sz w:val="24"/>
          <w:szCs w:val="24"/>
        </w:rPr>
        <w:t>:</w:t>
      </w:r>
    </w:p>
    <w:p w14:paraId="475610EA" w14:textId="282BBB84" w:rsidR="00397334" w:rsidRPr="001B454D" w:rsidRDefault="00397334" w:rsidP="00397334">
      <w:pPr>
        <w:pStyle w:val="Lijstalinea"/>
        <w:numPr>
          <w:ilvl w:val="1"/>
          <w:numId w:val="4"/>
        </w:numPr>
        <w:contextualSpacing/>
        <w:rPr>
          <w:rFonts w:ascii="Futura Bk BT" w:eastAsia="Times New Roman" w:hAnsi="Futura Bk BT" w:cs="Tahoma"/>
          <w:color w:val="000000"/>
          <w:szCs w:val="24"/>
          <w:lang w:val="en-US" w:eastAsia="de-DE"/>
        </w:rPr>
      </w:pPr>
      <w:r w:rsidRPr="001B454D">
        <w:rPr>
          <w:rFonts w:ascii="Futura Bk BT" w:hAnsi="Futura Bk BT" w:cs="Tahoma"/>
          <w:szCs w:val="24"/>
          <w:lang w:val="en-GB"/>
        </w:rPr>
        <w:t>balanced clinical/experimental focus</w:t>
      </w:r>
    </w:p>
    <w:p w14:paraId="4BD3C543" w14:textId="009624E9" w:rsidR="00397334" w:rsidRPr="001B454D" w:rsidRDefault="00397334" w:rsidP="00397334">
      <w:pPr>
        <w:pStyle w:val="Lijstalinea"/>
        <w:numPr>
          <w:ilvl w:val="1"/>
          <w:numId w:val="4"/>
        </w:numPr>
        <w:contextualSpacing/>
        <w:rPr>
          <w:rFonts w:ascii="Futura Bk BT" w:eastAsia="Times New Roman" w:hAnsi="Futura Bk BT" w:cs="Tahoma"/>
          <w:color w:val="000000"/>
          <w:szCs w:val="24"/>
          <w:lang w:val="en-GB" w:eastAsia="de-DE"/>
        </w:rPr>
      </w:pPr>
      <w:r w:rsidRPr="001B454D">
        <w:rPr>
          <w:rFonts w:ascii="Futura Bk BT" w:hAnsi="Futura Bk BT" w:cs="Tahoma"/>
          <w:szCs w:val="24"/>
          <w:lang w:val="en-GB"/>
        </w:rPr>
        <w:t xml:space="preserve">include also high educational content </w:t>
      </w:r>
    </w:p>
    <w:p w14:paraId="16437688" w14:textId="77777777" w:rsidR="00397334" w:rsidRPr="001B454D" w:rsidRDefault="00397334" w:rsidP="00397334">
      <w:pPr>
        <w:pStyle w:val="Lijstalinea"/>
        <w:numPr>
          <w:ilvl w:val="1"/>
          <w:numId w:val="4"/>
        </w:numPr>
        <w:contextualSpacing/>
        <w:rPr>
          <w:rFonts w:ascii="Futura Bk BT" w:eastAsia="Times New Roman" w:hAnsi="Futura Bk BT" w:cs="Tahoma"/>
          <w:color w:val="000000"/>
          <w:szCs w:val="24"/>
          <w:lang w:val="en-GB" w:eastAsia="de-DE"/>
        </w:rPr>
      </w:pPr>
      <w:r w:rsidRPr="001B454D">
        <w:rPr>
          <w:rFonts w:ascii="Futura Bk BT" w:eastAsia="Times New Roman" w:hAnsi="Futura Bk BT" w:cs="Tahoma"/>
          <w:color w:val="000000"/>
          <w:szCs w:val="24"/>
          <w:lang w:val="en-GB" w:eastAsia="de-DE"/>
        </w:rPr>
        <w:t xml:space="preserve">clinical guidance content, e.g. “Guideline January Edition” in collaboration with ERBP and with all major guideline bodies in the world </w:t>
      </w:r>
      <w:r w:rsidRPr="001B454D">
        <w:rPr>
          <w:rFonts w:ascii="Futura Bk BT" w:eastAsia="Times New Roman" w:hAnsi="Futura Bk BT" w:cs="Tahoma"/>
          <w:i/>
          <w:color w:val="000000"/>
          <w:szCs w:val="24"/>
          <w:lang w:val="en-GB" w:eastAsia="de-DE"/>
        </w:rPr>
        <w:t>"ERA Guidelines adapted to European nephrology</w:t>
      </w:r>
      <w:r w:rsidRPr="001B454D">
        <w:rPr>
          <w:rFonts w:ascii="Futura Bk BT" w:eastAsia="Times New Roman" w:hAnsi="Futura Bk BT" w:cs="Tahoma"/>
          <w:color w:val="000000"/>
          <w:szCs w:val="24"/>
          <w:lang w:val="en-GB" w:eastAsia="de-DE"/>
        </w:rPr>
        <w:t>"</w:t>
      </w:r>
    </w:p>
    <w:p w14:paraId="3526F50E" w14:textId="77777777" w:rsidR="00397334" w:rsidRPr="001B454D" w:rsidRDefault="00397334" w:rsidP="00397334">
      <w:pPr>
        <w:pStyle w:val="Lijstalinea"/>
        <w:numPr>
          <w:ilvl w:val="1"/>
          <w:numId w:val="4"/>
        </w:numPr>
        <w:contextualSpacing/>
        <w:rPr>
          <w:rFonts w:ascii="Futura Bk BT" w:eastAsia="Times New Roman" w:hAnsi="Futura Bk BT" w:cs="Tahoma"/>
          <w:color w:val="000000"/>
          <w:szCs w:val="24"/>
          <w:lang w:val="en-GB" w:eastAsia="de-DE"/>
        </w:rPr>
      </w:pPr>
      <w:r w:rsidRPr="001B454D">
        <w:rPr>
          <w:rFonts w:ascii="Futura Bk BT" w:eastAsia="Times New Roman" w:hAnsi="Futura Bk BT" w:cs="Tahoma"/>
          <w:color w:val="000000"/>
          <w:szCs w:val="24"/>
          <w:lang w:val="en-GB" w:eastAsia="de-DE"/>
        </w:rPr>
        <w:t>select key future themes in European nephrology important for ERA (e.g. RCTs, AKI, Registry, Eastern Europe nephrology devolvement)</w:t>
      </w:r>
    </w:p>
    <w:p w14:paraId="3293F606" w14:textId="77777777" w:rsidR="00397334" w:rsidRPr="001B454D" w:rsidRDefault="00397334" w:rsidP="00397334">
      <w:pPr>
        <w:pStyle w:val="Lijstalinea"/>
        <w:numPr>
          <w:ilvl w:val="1"/>
          <w:numId w:val="4"/>
        </w:numPr>
        <w:contextualSpacing/>
        <w:rPr>
          <w:rFonts w:ascii="Futura Bk BT" w:eastAsia="Times New Roman" w:hAnsi="Futura Bk BT" w:cs="Tahoma"/>
          <w:color w:val="000000"/>
          <w:szCs w:val="24"/>
          <w:lang w:eastAsia="de-DE"/>
        </w:rPr>
      </w:pPr>
      <w:r w:rsidRPr="001B454D">
        <w:rPr>
          <w:rFonts w:ascii="Futura Bk BT" w:eastAsia="Times New Roman" w:hAnsi="Futura Bk BT" w:cs="Tahoma"/>
          <w:color w:val="000000"/>
          <w:szCs w:val="24"/>
          <w:lang w:eastAsia="de-DE"/>
        </w:rPr>
        <w:t>editorial/reviewer fellowship program</w:t>
      </w:r>
    </w:p>
    <w:p w14:paraId="71521925" w14:textId="77777777" w:rsidR="00397334" w:rsidRPr="001B454D" w:rsidRDefault="00397334" w:rsidP="00397334">
      <w:pPr>
        <w:pStyle w:val="Lijstalinea"/>
        <w:numPr>
          <w:ilvl w:val="1"/>
          <w:numId w:val="4"/>
        </w:numPr>
        <w:contextualSpacing/>
        <w:rPr>
          <w:rFonts w:ascii="Futura Bk BT" w:eastAsia="Times New Roman" w:hAnsi="Futura Bk BT" w:cs="Tahoma"/>
          <w:color w:val="000000"/>
          <w:szCs w:val="24"/>
          <w:lang w:val="en-GB" w:eastAsia="de-DE"/>
        </w:rPr>
      </w:pPr>
      <w:r w:rsidRPr="001B454D">
        <w:rPr>
          <w:rFonts w:ascii="Futura Bk BT" w:eastAsia="Times New Roman" w:hAnsi="Futura Bk BT" w:cs="Tahoma"/>
          <w:color w:val="000000"/>
          <w:szCs w:val="24"/>
          <w:lang w:val="en-GB" w:eastAsia="de-DE"/>
        </w:rPr>
        <w:t xml:space="preserve">accept articles from areas adjacent to nephrology (if and when appropriate), e.g. cardiology, diabetes, hypertension, rheumatology </w:t>
      </w:r>
    </w:p>
    <w:p w14:paraId="759B9FE4" w14:textId="77777777" w:rsidR="00397334" w:rsidRPr="001B454D" w:rsidRDefault="00397334" w:rsidP="00397334">
      <w:pPr>
        <w:pStyle w:val="Lijstalinea"/>
        <w:numPr>
          <w:ilvl w:val="1"/>
          <w:numId w:val="4"/>
        </w:numPr>
        <w:contextualSpacing/>
        <w:rPr>
          <w:rFonts w:ascii="Futura Bk BT" w:eastAsia="Times New Roman" w:hAnsi="Futura Bk BT" w:cs="Tahoma"/>
          <w:color w:val="000000"/>
          <w:szCs w:val="24"/>
          <w:lang w:eastAsia="de-DE"/>
        </w:rPr>
      </w:pPr>
      <w:r w:rsidRPr="001B454D">
        <w:rPr>
          <w:rFonts w:ascii="Futura Bk BT" w:eastAsia="Times New Roman" w:hAnsi="Futura Bk BT" w:cs="Tahoma"/>
          <w:color w:val="000000"/>
          <w:szCs w:val="24"/>
          <w:lang w:eastAsia="de-DE"/>
        </w:rPr>
        <w:t xml:space="preserve">include position papers/guidelines </w:t>
      </w:r>
    </w:p>
    <w:p w14:paraId="6E51ECFB" w14:textId="0E55E00C" w:rsidR="00397334" w:rsidRPr="001B454D" w:rsidRDefault="00397334" w:rsidP="00397334">
      <w:pPr>
        <w:pStyle w:val="Lijstalinea"/>
        <w:numPr>
          <w:ilvl w:val="1"/>
          <w:numId w:val="4"/>
        </w:numPr>
        <w:contextualSpacing/>
        <w:rPr>
          <w:rFonts w:ascii="Futura Bk BT" w:eastAsia="Times New Roman" w:hAnsi="Futura Bk BT" w:cs="Tahoma"/>
          <w:szCs w:val="24"/>
          <w:lang w:val="en-GB" w:eastAsia="de-DE"/>
        </w:rPr>
      </w:pPr>
      <w:r w:rsidRPr="001B454D">
        <w:rPr>
          <w:rFonts w:ascii="Futura Bk BT" w:eastAsia="Times New Roman" w:hAnsi="Futura Bk BT" w:cs="Tahoma"/>
          <w:szCs w:val="24"/>
          <w:lang w:val="en-GB" w:eastAsia="de-DE"/>
        </w:rPr>
        <w:t xml:space="preserve">coordinate the content with other ERA communication channels such as e-seminars and sessions of the annual Congress </w:t>
      </w:r>
    </w:p>
    <w:p w14:paraId="57FD3C76" w14:textId="77777777" w:rsidR="00397334" w:rsidRPr="001B454D" w:rsidRDefault="00397334" w:rsidP="00397334">
      <w:pPr>
        <w:pStyle w:val="Lijstalinea"/>
        <w:numPr>
          <w:ilvl w:val="1"/>
          <w:numId w:val="4"/>
        </w:numPr>
        <w:contextualSpacing/>
        <w:rPr>
          <w:rFonts w:ascii="Futura Bk BT" w:eastAsiaTheme="minorHAnsi" w:hAnsi="Futura Bk BT" w:cs="Tahoma"/>
          <w:szCs w:val="24"/>
          <w:lang w:eastAsia="en-US"/>
        </w:rPr>
      </w:pPr>
      <w:r w:rsidRPr="001B454D">
        <w:rPr>
          <w:rFonts w:ascii="Futura Bk BT" w:eastAsia="Times New Roman" w:hAnsi="Futura Bk BT" w:cs="Tahoma"/>
          <w:color w:val="000000"/>
          <w:szCs w:val="24"/>
          <w:lang w:eastAsia="de-DE"/>
        </w:rPr>
        <w:t>section for visual abstracts</w:t>
      </w:r>
    </w:p>
    <w:p w14:paraId="29056EA2" w14:textId="77777777" w:rsidR="00397334" w:rsidRPr="001B454D" w:rsidRDefault="00397334" w:rsidP="00397334">
      <w:pPr>
        <w:spacing w:after="200" w:line="276" w:lineRule="auto"/>
        <w:rPr>
          <w:rFonts w:ascii="Futura Bk BT" w:hAnsi="Futura Bk BT" w:cs="Tahoma"/>
          <w:sz w:val="24"/>
          <w:szCs w:val="24"/>
        </w:rPr>
      </w:pPr>
    </w:p>
    <w:p w14:paraId="507208AE" w14:textId="77777777" w:rsidR="00397334" w:rsidRPr="001B454D" w:rsidRDefault="00397334" w:rsidP="00397334">
      <w:pPr>
        <w:pStyle w:val="Normaalweb"/>
        <w:shd w:val="clear" w:color="auto" w:fill="FFFFFF"/>
        <w:spacing w:before="204" w:beforeAutospacing="0" w:after="204" w:afterAutospacing="0"/>
        <w:textAlignment w:val="baseline"/>
        <w:rPr>
          <w:rFonts w:ascii="Futura Bk BT" w:hAnsi="Futura Bk BT" w:cs="Tahoma"/>
          <w:b/>
          <w:bCs/>
          <w:u w:val="single"/>
        </w:rPr>
      </w:pPr>
      <w:r w:rsidRPr="001B454D">
        <w:rPr>
          <w:rFonts w:ascii="Futura Bk BT" w:hAnsi="Futura Bk BT" w:cs="Tahoma"/>
          <w:b/>
          <w:bCs/>
          <w:u w:val="single"/>
        </w:rPr>
        <w:t xml:space="preserve">Minimum requirements for the management/objectives of the Journal </w:t>
      </w:r>
    </w:p>
    <w:p w14:paraId="41C3CE28" w14:textId="77777777" w:rsidR="00397334" w:rsidRPr="001B454D" w:rsidRDefault="00397334" w:rsidP="00397334">
      <w:pPr>
        <w:pStyle w:val="Normaalweb"/>
        <w:shd w:val="clear" w:color="auto" w:fill="FFFFFF"/>
        <w:spacing w:before="204" w:beforeAutospacing="0" w:after="204" w:afterAutospacing="0"/>
        <w:textAlignment w:val="baseline"/>
        <w:rPr>
          <w:rFonts w:ascii="Futura Bk BT" w:hAnsi="Futura Bk BT" w:cs="Tahoma"/>
        </w:rPr>
      </w:pPr>
    </w:p>
    <w:p w14:paraId="0FC8B14C" w14:textId="35A26365" w:rsidR="00397334" w:rsidRPr="001B454D" w:rsidRDefault="00397334" w:rsidP="00397334">
      <w:pPr>
        <w:pStyle w:val="Normaalweb"/>
        <w:numPr>
          <w:ilvl w:val="0"/>
          <w:numId w:val="3"/>
        </w:numPr>
        <w:shd w:val="clear" w:color="auto" w:fill="FFFFFF"/>
        <w:spacing w:before="204" w:beforeAutospacing="0" w:after="204" w:afterAutospacing="0"/>
        <w:textAlignment w:val="baseline"/>
        <w:rPr>
          <w:rFonts w:ascii="Futura Bk BT" w:hAnsi="Futura Bk BT" w:cs="Tahoma"/>
          <w:color w:val="383838"/>
        </w:rPr>
      </w:pPr>
      <w:r w:rsidRPr="001B454D">
        <w:rPr>
          <w:rFonts w:ascii="Futura Bk BT" w:hAnsi="Futura Bk BT" w:cs="Tahoma"/>
        </w:rPr>
        <w:t xml:space="preserve">Triage </w:t>
      </w:r>
      <w:r w:rsidR="00A5532D" w:rsidRPr="001B454D">
        <w:rPr>
          <w:rFonts w:ascii="Futura Bk BT" w:hAnsi="Futura Bk BT" w:cs="Tahoma"/>
        </w:rPr>
        <w:t xml:space="preserve">at submission stage </w:t>
      </w:r>
      <w:r w:rsidRPr="001B454D">
        <w:rPr>
          <w:rFonts w:ascii="Futura Bk BT" w:hAnsi="Futura Bk BT" w:cs="Tahoma"/>
        </w:rPr>
        <w:t>must be done by at least two (2) people</w:t>
      </w:r>
      <w:r w:rsidR="00A5532D" w:rsidRPr="001B454D">
        <w:rPr>
          <w:rFonts w:ascii="Futura Bk BT" w:hAnsi="Futura Bk BT" w:cs="Tahoma"/>
        </w:rPr>
        <w:t>.</w:t>
      </w:r>
    </w:p>
    <w:p w14:paraId="21465F24" w14:textId="3C4B910C" w:rsidR="00397334" w:rsidRPr="001B454D" w:rsidRDefault="00397334" w:rsidP="00397334">
      <w:pPr>
        <w:pStyle w:val="Normaalweb"/>
        <w:numPr>
          <w:ilvl w:val="0"/>
          <w:numId w:val="3"/>
        </w:numPr>
        <w:shd w:val="clear" w:color="auto" w:fill="FFFFFF"/>
        <w:spacing w:before="204" w:beforeAutospacing="0" w:after="204" w:afterAutospacing="0"/>
        <w:textAlignment w:val="baseline"/>
        <w:rPr>
          <w:rFonts w:ascii="Futura Bk BT" w:hAnsi="Futura Bk BT" w:cs="Tahoma"/>
          <w:color w:val="383838"/>
        </w:rPr>
      </w:pPr>
      <w:r w:rsidRPr="001B454D">
        <w:rPr>
          <w:rFonts w:ascii="Futura Bk BT" w:hAnsi="Futura Bk BT" w:cs="Tahoma"/>
        </w:rPr>
        <w:t>On a yearly basis the Council will set minimum objectives that the Journal must reach</w:t>
      </w:r>
      <w:r w:rsidR="00A5532D" w:rsidRPr="001B454D">
        <w:rPr>
          <w:rFonts w:ascii="Futura Bk BT" w:hAnsi="Futura Bk BT" w:cs="Tahoma"/>
        </w:rPr>
        <w:t>.</w:t>
      </w:r>
    </w:p>
    <w:p w14:paraId="3E3A48F5" w14:textId="12622B16" w:rsidR="00DC7BFB" w:rsidRPr="001B454D" w:rsidRDefault="00397334" w:rsidP="00DC7BFB">
      <w:pPr>
        <w:pStyle w:val="Normaalweb"/>
        <w:numPr>
          <w:ilvl w:val="0"/>
          <w:numId w:val="3"/>
        </w:numPr>
        <w:shd w:val="clear" w:color="auto" w:fill="FFFFFF"/>
        <w:spacing w:before="204" w:beforeAutospacing="0" w:after="204" w:afterAutospacing="0"/>
        <w:textAlignment w:val="baseline"/>
        <w:rPr>
          <w:rFonts w:ascii="Futura Bk BT" w:hAnsi="Futura Bk BT" w:cs="Tahoma"/>
          <w:color w:val="383838"/>
        </w:rPr>
      </w:pPr>
      <w:r w:rsidRPr="001B454D">
        <w:rPr>
          <w:rFonts w:ascii="Futura Bk BT" w:hAnsi="Futura Bk BT" w:cs="Tahoma"/>
        </w:rPr>
        <w:t xml:space="preserve">Increase Impact Factor: a detailed written strategy by the EiC on how to achieve this must be submitted at the time of candidacy, the target </w:t>
      </w:r>
      <w:r w:rsidRPr="001B454D">
        <w:rPr>
          <w:rFonts w:ascii="Futura Bk BT" w:hAnsi="Futura Bk BT" w:cs="Tahoma"/>
        </w:rPr>
        <w:lastRenderedPageBreak/>
        <w:t>however to be achieved during the term (3</w:t>
      </w:r>
      <w:r w:rsidR="00A5532D" w:rsidRPr="001B454D">
        <w:rPr>
          <w:rFonts w:ascii="Futura Bk BT" w:hAnsi="Futura Bk BT" w:cs="Tahoma"/>
        </w:rPr>
        <w:t xml:space="preserve"> </w:t>
      </w:r>
      <w:r w:rsidRPr="001B454D">
        <w:rPr>
          <w:rFonts w:ascii="Futura Bk BT" w:hAnsi="Futura Bk BT" w:cs="Tahoma"/>
        </w:rPr>
        <w:t>+</w:t>
      </w:r>
      <w:r w:rsidR="00A5532D" w:rsidRPr="001B454D">
        <w:rPr>
          <w:rFonts w:ascii="Futura Bk BT" w:hAnsi="Futura Bk BT" w:cs="Tahoma"/>
        </w:rPr>
        <w:t xml:space="preserve"> </w:t>
      </w:r>
      <w:r w:rsidRPr="001B454D">
        <w:rPr>
          <w:rFonts w:ascii="Futura Bk BT" w:hAnsi="Futura Bk BT" w:cs="Tahoma"/>
        </w:rPr>
        <w:t xml:space="preserve">eventually another 3 years) is at least </w:t>
      </w:r>
      <w:r w:rsidR="0043218C" w:rsidRPr="001B454D">
        <w:rPr>
          <w:rFonts w:ascii="Futura Bk BT" w:hAnsi="Futura Bk BT" w:cs="Tahoma"/>
        </w:rPr>
        <w:t>8</w:t>
      </w:r>
      <w:r w:rsidR="00A5532D" w:rsidRPr="001B454D">
        <w:rPr>
          <w:rFonts w:ascii="Futura Bk BT" w:hAnsi="Futura Bk BT" w:cs="Tahoma"/>
        </w:rPr>
        <w:t>.</w:t>
      </w:r>
    </w:p>
    <w:p w14:paraId="703FE1BF" w14:textId="77777777" w:rsidR="00DC7BFB" w:rsidRPr="001B454D" w:rsidRDefault="00DC7BFB" w:rsidP="00DC7BFB">
      <w:pPr>
        <w:rPr>
          <w:rFonts w:ascii="Futura Bk BT" w:hAnsi="Futura Bk BT" w:cs="Tahoma"/>
          <w:b/>
          <w:bCs/>
          <w:sz w:val="24"/>
          <w:szCs w:val="24"/>
          <w:u w:val="single"/>
        </w:rPr>
      </w:pPr>
    </w:p>
    <w:p w14:paraId="3588ED00" w14:textId="03853DE3" w:rsidR="00397334" w:rsidRPr="001B454D" w:rsidRDefault="00397334" w:rsidP="00397334">
      <w:pPr>
        <w:jc w:val="center"/>
        <w:rPr>
          <w:rFonts w:ascii="Futura Bk BT" w:hAnsi="Futura Bk BT" w:cs="Tahoma"/>
          <w:b/>
          <w:bCs/>
          <w:sz w:val="24"/>
          <w:szCs w:val="24"/>
          <w:u w:val="single"/>
        </w:rPr>
      </w:pPr>
      <w:r w:rsidRPr="001B454D">
        <w:rPr>
          <w:rFonts w:ascii="Futura Bk BT" w:hAnsi="Futura Bk BT" w:cs="Tahoma"/>
          <w:b/>
          <w:bCs/>
          <w:sz w:val="24"/>
          <w:szCs w:val="24"/>
          <w:u w:val="single"/>
        </w:rPr>
        <w:t>APPENDIX I</w:t>
      </w:r>
    </w:p>
    <w:p w14:paraId="60F8FADB" w14:textId="77777777" w:rsidR="00397334" w:rsidRPr="001B454D" w:rsidRDefault="00397334" w:rsidP="00397334">
      <w:pPr>
        <w:rPr>
          <w:rFonts w:ascii="Futura Bk BT" w:hAnsi="Futura Bk BT" w:cs="Tahoma"/>
          <w:sz w:val="24"/>
          <w:szCs w:val="24"/>
        </w:rPr>
      </w:pPr>
    </w:p>
    <w:p w14:paraId="4ABC85F0" w14:textId="77777777" w:rsidR="00397334" w:rsidRPr="001B454D" w:rsidRDefault="00397334" w:rsidP="00397334">
      <w:pPr>
        <w:rPr>
          <w:rFonts w:ascii="Futura Bk BT" w:hAnsi="Futura Bk BT" w:cs="Tahoma"/>
          <w:sz w:val="24"/>
          <w:szCs w:val="24"/>
          <w:u w:val="single"/>
        </w:rPr>
      </w:pPr>
      <w:r w:rsidRPr="001B454D">
        <w:rPr>
          <w:rFonts w:ascii="Futura Bk BT" w:hAnsi="Futura Bk BT" w:cs="Tahoma"/>
          <w:sz w:val="24"/>
          <w:szCs w:val="24"/>
          <w:u w:val="single"/>
        </w:rPr>
        <w:t>ERA’ Mission</w:t>
      </w:r>
    </w:p>
    <w:p w14:paraId="3D6B34FC" w14:textId="77777777" w:rsidR="00397334" w:rsidRPr="001B454D" w:rsidRDefault="00397334" w:rsidP="00397334">
      <w:pPr>
        <w:rPr>
          <w:rFonts w:ascii="Futura Bk BT" w:hAnsi="Futura Bk BT" w:cs="Tahoma"/>
          <w:sz w:val="24"/>
          <w:szCs w:val="24"/>
        </w:rPr>
      </w:pPr>
    </w:p>
    <w:p w14:paraId="54DC777F" w14:textId="77777777" w:rsidR="00397334" w:rsidRPr="001B454D" w:rsidRDefault="00397334" w:rsidP="00397334">
      <w:pPr>
        <w:rPr>
          <w:rFonts w:ascii="Futura Bk BT" w:hAnsi="Futura Bk BT" w:cs="Tahoma"/>
          <w:sz w:val="24"/>
          <w:szCs w:val="24"/>
          <w:shd w:val="clear" w:color="auto" w:fill="FFFFFF"/>
        </w:rPr>
      </w:pPr>
      <w:r w:rsidRPr="001B454D">
        <w:rPr>
          <w:rFonts w:ascii="Futura Bk BT" w:hAnsi="Futura Bk BT" w:cs="Tahoma"/>
          <w:sz w:val="24"/>
          <w:szCs w:val="24"/>
          <w:shd w:val="clear" w:color="auto" w:fill="FFFFFF"/>
        </w:rPr>
        <w:t>The objects of the Association are the advancement of medical science by promoting fundamental and clinical advances in the field of nephrology, dialysis, renal transplantation, hypertension, and related subjects.</w:t>
      </w:r>
    </w:p>
    <w:p w14:paraId="28E115B6" w14:textId="77777777" w:rsidR="00397334" w:rsidRPr="001B454D" w:rsidRDefault="00397334" w:rsidP="00397334">
      <w:pPr>
        <w:rPr>
          <w:rFonts w:ascii="Futura Bk BT" w:hAnsi="Futura Bk BT" w:cs="Tahoma"/>
          <w:sz w:val="24"/>
          <w:szCs w:val="24"/>
          <w:shd w:val="clear" w:color="auto" w:fill="FFFFFF"/>
        </w:rPr>
      </w:pPr>
    </w:p>
    <w:p w14:paraId="5E0AA109" w14:textId="77777777" w:rsidR="00397334" w:rsidRPr="001B454D" w:rsidRDefault="00397334" w:rsidP="00397334">
      <w:pPr>
        <w:rPr>
          <w:rFonts w:ascii="Futura Bk BT" w:hAnsi="Futura Bk BT" w:cs="Tahoma"/>
          <w:sz w:val="24"/>
          <w:szCs w:val="24"/>
          <w:u w:val="single"/>
          <w:shd w:val="clear" w:color="auto" w:fill="FFFFFF"/>
        </w:rPr>
      </w:pPr>
      <w:r w:rsidRPr="001B454D">
        <w:rPr>
          <w:rFonts w:ascii="Futura Bk BT" w:hAnsi="Futura Bk BT" w:cs="Tahoma"/>
          <w:sz w:val="24"/>
          <w:szCs w:val="24"/>
          <w:u w:val="single"/>
          <w:shd w:val="clear" w:color="auto" w:fill="FFFFFF"/>
        </w:rPr>
        <w:t>ERA’s Vision</w:t>
      </w:r>
    </w:p>
    <w:p w14:paraId="58D0BFC4" w14:textId="77777777" w:rsidR="00397334" w:rsidRPr="001B454D" w:rsidRDefault="00397334" w:rsidP="00397334">
      <w:pPr>
        <w:rPr>
          <w:rFonts w:ascii="Futura Bk BT" w:hAnsi="Futura Bk BT" w:cs="Tahoma"/>
          <w:sz w:val="24"/>
          <w:szCs w:val="24"/>
          <w:shd w:val="clear" w:color="auto" w:fill="FFFFFF"/>
        </w:rPr>
      </w:pPr>
    </w:p>
    <w:p w14:paraId="5B59B8D0" w14:textId="77777777" w:rsidR="00397334" w:rsidRPr="001B454D" w:rsidRDefault="00397334" w:rsidP="00397334">
      <w:pPr>
        <w:pStyle w:val="Normaalweb"/>
        <w:shd w:val="clear" w:color="auto" w:fill="FFFFFF"/>
        <w:spacing w:before="204" w:beforeAutospacing="0" w:after="204" w:afterAutospacing="0"/>
        <w:textAlignment w:val="baseline"/>
        <w:rPr>
          <w:rFonts w:ascii="Futura Bk BT" w:hAnsi="Futura Bk BT" w:cs="Tahoma"/>
        </w:rPr>
      </w:pPr>
      <w:r w:rsidRPr="001B454D">
        <w:rPr>
          <w:rFonts w:ascii="Futura Bk BT" w:hAnsi="Futura Bk BT" w:cs="Tahoma"/>
        </w:rPr>
        <w:t>To continuously advance education and continuous professional development applying a standard, common format for all subspecialties in all areas of nephrology, from clinical nephrology to dialysis and transplantation.</w:t>
      </w:r>
    </w:p>
    <w:p w14:paraId="1C13F202" w14:textId="77777777" w:rsidR="00397334" w:rsidRPr="001B454D" w:rsidRDefault="00397334" w:rsidP="00397334">
      <w:pPr>
        <w:pStyle w:val="Normaalweb"/>
        <w:shd w:val="clear" w:color="auto" w:fill="FFFFFF"/>
        <w:spacing w:before="204" w:beforeAutospacing="0" w:after="204" w:afterAutospacing="0"/>
        <w:textAlignment w:val="baseline"/>
        <w:rPr>
          <w:rFonts w:ascii="Futura Bk BT" w:hAnsi="Futura Bk BT" w:cs="Tahoma"/>
        </w:rPr>
      </w:pPr>
      <w:r w:rsidRPr="001B454D">
        <w:rPr>
          <w:rFonts w:ascii="Futura Bk BT" w:hAnsi="Futura Bk BT" w:cs="Tahoma"/>
        </w:rPr>
        <w:t>To promote ambitious collaborations among European investigators aimed at formulating high quality projects in the nephrology field.</w:t>
      </w:r>
    </w:p>
    <w:p w14:paraId="44380686" w14:textId="77777777" w:rsidR="00397334" w:rsidRPr="001B454D" w:rsidRDefault="00397334" w:rsidP="00397334">
      <w:pPr>
        <w:pStyle w:val="Normaalweb"/>
        <w:shd w:val="clear" w:color="auto" w:fill="FFFFFF"/>
        <w:spacing w:before="204" w:beforeAutospacing="0" w:after="204" w:afterAutospacing="0"/>
        <w:textAlignment w:val="baseline"/>
        <w:rPr>
          <w:rFonts w:ascii="Futura Bk BT" w:hAnsi="Futura Bk BT" w:cs="Tahoma"/>
        </w:rPr>
      </w:pPr>
      <w:r w:rsidRPr="001B454D">
        <w:rPr>
          <w:rFonts w:ascii="Futura Bk BT" w:hAnsi="Futura Bk BT" w:cs="Tahoma"/>
        </w:rPr>
        <w:t>To involve young talented nephrologists in all editorial activities of the Journal, wherever appropriate.</w:t>
      </w:r>
    </w:p>
    <w:p w14:paraId="345F2DAE" w14:textId="601A6F43" w:rsidR="00397334" w:rsidRPr="001B454D" w:rsidRDefault="00397334" w:rsidP="00397334">
      <w:pPr>
        <w:pStyle w:val="Normaalweb"/>
        <w:shd w:val="clear" w:color="auto" w:fill="FFFFFF"/>
        <w:spacing w:before="204" w:beforeAutospacing="0" w:after="204" w:afterAutospacing="0"/>
        <w:textAlignment w:val="baseline"/>
        <w:rPr>
          <w:rFonts w:ascii="Futura Bk BT" w:hAnsi="Futura Bk BT" w:cs="Tahoma"/>
        </w:rPr>
      </w:pPr>
      <w:r w:rsidRPr="001B454D">
        <w:rPr>
          <w:rFonts w:ascii="Futura Bk BT" w:hAnsi="Futura Bk BT" w:cs="Tahoma"/>
        </w:rPr>
        <w:t xml:space="preserve">To promote </w:t>
      </w:r>
      <w:r w:rsidR="00246A6D" w:rsidRPr="001B454D">
        <w:rPr>
          <w:rFonts w:ascii="Futura Bk BT" w:hAnsi="Futura Bk BT" w:cs="Tahoma"/>
        </w:rPr>
        <w:t>n</w:t>
      </w:r>
      <w:r w:rsidRPr="001B454D">
        <w:rPr>
          <w:rFonts w:ascii="Futura Bk BT" w:hAnsi="Futura Bk BT" w:cs="Tahoma"/>
        </w:rPr>
        <w:t>ephrology as a career opportunity for European medical students.</w:t>
      </w:r>
    </w:p>
    <w:p w14:paraId="7902F539" w14:textId="01868459" w:rsidR="00FC1A1D" w:rsidRPr="001B454D" w:rsidRDefault="00FC1A1D" w:rsidP="00397334">
      <w:pPr>
        <w:pStyle w:val="Normaalweb"/>
        <w:shd w:val="clear" w:color="auto" w:fill="FFFFFF"/>
        <w:spacing w:before="204" w:beforeAutospacing="0" w:after="204" w:afterAutospacing="0"/>
        <w:textAlignment w:val="baseline"/>
        <w:rPr>
          <w:rFonts w:ascii="Futura Bk BT" w:hAnsi="Futura Bk BT" w:cs="Tahoma"/>
          <w:color w:val="383838"/>
        </w:rPr>
      </w:pPr>
    </w:p>
    <w:p w14:paraId="47530C23" w14:textId="77777777" w:rsidR="00FC2484" w:rsidRDefault="00FC1A1D" w:rsidP="00397334">
      <w:pPr>
        <w:pStyle w:val="Normaalweb"/>
        <w:shd w:val="clear" w:color="auto" w:fill="FFFFFF"/>
        <w:spacing w:before="204" w:beforeAutospacing="0" w:after="204" w:afterAutospacing="0"/>
        <w:textAlignment w:val="baseline"/>
        <w:rPr>
          <w:rFonts w:ascii="Futura Bk BT" w:hAnsi="Futura Bk BT" w:cs="Tahoma"/>
          <w:color w:val="383838"/>
        </w:rPr>
      </w:pPr>
      <w:r w:rsidRPr="001B454D">
        <w:rPr>
          <w:rFonts w:ascii="Futura Bk BT" w:hAnsi="Futura Bk BT" w:cs="Tahoma"/>
          <w:color w:val="383838"/>
        </w:rPr>
        <w:t>Location and Date</w:t>
      </w:r>
      <w:r w:rsidR="00FC2484">
        <w:rPr>
          <w:rFonts w:ascii="Futura Bk BT" w:hAnsi="Futura Bk BT" w:cs="Tahoma"/>
          <w:color w:val="383838"/>
        </w:rPr>
        <w:t>:</w:t>
      </w:r>
    </w:p>
    <w:p w14:paraId="32496D87" w14:textId="4FB6E1C6" w:rsidR="00FC1A1D" w:rsidRPr="001B454D" w:rsidRDefault="00FC1A1D" w:rsidP="00397334">
      <w:pPr>
        <w:pStyle w:val="Normaalweb"/>
        <w:shd w:val="clear" w:color="auto" w:fill="FFFFFF"/>
        <w:spacing w:before="204" w:beforeAutospacing="0" w:after="204" w:afterAutospacing="0"/>
        <w:textAlignment w:val="baseline"/>
        <w:rPr>
          <w:rFonts w:ascii="Futura Bk BT" w:hAnsi="Futura Bk BT" w:cs="Tahoma"/>
          <w:color w:val="383838"/>
        </w:rPr>
      </w:pPr>
    </w:p>
    <w:p w14:paraId="360054C1" w14:textId="77777777" w:rsidR="003415CF" w:rsidRPr="001B454D" w:rsidRDefault="003415CF" w:rsidP="00397334">
      <w:pPr>
        <w:pStyle w:val="Normaalweb"/>
        <w:shd w:val="clear" w:color="auto" w:fill="FFFFFF"/>
        <w:spacing w:before="204" w:beforeAutospacing="0" w:after="204" w:afterAutospacing="0"/>
        <w:textAlignment w:val="baseline"/>
        <w:rPr>
          <w:rFonts w:ascii="Futura Bk BT" w:hAnsi="Futura Bk BT" w:cs="Tahoma"/>
          <w:color w:val="383838"/>
        </w:rPr>
      </w:pPr>
    </w:p>
    <w:p w14:paraId="359C6AA7" w14:textId="6D4BD4F7" w:rsidR="003062E0" w:rsidRPr="001B454D" w:rsidRDefault="00FC1A1D" w:rsidP="00FC1A1D">
      <w:pPr>
        <w:pStyle w:val="Normaalweb"/>
        <w:shd w:val="clear" w:color="auto" w:fill="FFFFFF"/>
        <w:spacing w:before="204" w:beforeAutospacing="0" w:after="204" w:afterAutospacing="0"/>
        <w:textAlignment w:val="baseline"/>
        <w:rPr>
          <w:rFonts w:ascii="Futura Bk BT" w:hAnsi="Futura Bk BT" w:cs="Tahoma"/>
          <w:color w:val="383838"/>
        </w:rPr>
      </w:pPr>
      <w:r w:rsidRPr="001B454D">
        <w:rPr>
          <w:rFonts w:ascii="Futura Bk BT" w:hAnsi="Futura Bk BT" w:cs="Tahoma"/>
          <w:color w:val="383838"/>
        </w:rPr>
        <w:t>For the Editor-in-Chief</w:t>
      </w:r>
      <w:r w:rsidRPr="001B454D">
        <w:rPr>
          <w:rFonts w:ascii="Futura Bk BT" w:hAnsi="Futura Bk BT" w:cs="Tahoma"/>
          <w:color w:val="383838"/>
        </w:rPr>
        <w:tab/>
      </w:r>
      <w:r w:rsidRPr="001B454D">
        <w:rPr>
          <w:rFonts w:ascii="Futura Bk BT" w:hAnsi="Futura Bk BT" w:cs="Tahoma"/>
          <w:color w:val="383838"/>
        </w:rPr>
        <w:tab/>
      </w:r>
      <w:r w:rsidRPr="001B454D">
        <w:rPr>
          <w:rFonts w:ascii="Futura Bk BT" w:hAnsi="Futura Bk BT" w:cs="Tahoma"/>
          <w:color w:val="383838"/>
        </w:rPr>
        <w:tab/>
      </w:r>
      <w:r w:rsidRPr="001B454D">
        <w:rPr>
          <w:rFonts w:ascii="Futura Bk BT" w:hAnsi="Futura Bk BT" w:cs="Tahoma"/>
          <w:color w:val="383838"/>
        </w:rPr>
        <w:tab/>
      </w:r>
      <w:r w:rsidRPr="001B454D">
        <w:rPr>
          <w:rFonts w:ascii="Futura Bk BT" w:hAnsi="Futura Bk BT" w:cs="Tahoma"/>
          <w:color w:val="383838"/>
        </w:rPr>
        <w:tab/>
        <w:t>For ERA (President)</w:t>
      </w:r>
    </w:p>
    <w:p w14:paraId="51BC69CA" w14:textId="0A04C0EE" w:rsidR="00FC1A1D" w:rsidRPr="001B454D" w:rsidRDefault="00FC1A1D" w:rsidP="00FC1A1D">
      <w:pPr>
        <w:pStyle w:val="Normaalweb"/>
        <w:shd w:val="clear" w:color="auto" w:fill="FFFFFF"/>
        <w:spacing w:before="204" w:beforeAutospacing="0" w:after="204" w:afterAutospacing="0"/>
        <w:textAlignment w:val="baseline"/>
        <w:rPr>
          <w:rFonts w:ascii="Futura Bk BT" w:hAnsi="Futura Bk BT" w:cs="Tahoma"/>
          <w:color w:val="383838"/>
        </w:rPr>
      </w:pPr>
    </w:p>
    <w:p w14:paraId="01174A7E" w14:textId="5275B9D6" w:rsidR="00FC1A1D" w:rsidRPr="001B454D" w:rsidRDefault="00FC1A1D" w:rsidP="00FC1A1D">
      <w:pPr>
        <w:pStyle w:val="Normaalweb"/>
        <w:shd w:val="clear" w:color="auto" w:fill="FFFFFF"/>
        <w:spacing w:before="204" w:beforeAutospacing="0" w:after="204" w:afterAutospacing="0"/>
        <w:textAlignment w:val="baseline"/>
        <w:rPr>
          <w:rFonts w:ascii="Futura Bk BT" w:hAnsi="Futura Bk BT" w:cs="Tahoma"/>
          <w:color w:val="383838"/>
        </w:rPr>
      </w:pPr>
      <w:r w:rsidRPr="001B454D">
        <w:rPr>
          <w:rFonts w:ascii="Futura Bk BT" w:hAnsi="Futura Bk BT" w:cs="Tahoma"/>
          <w:color w:val="383838"/>
        </w:rPr>
        <w:t>____________________</w:t>
      </w:r>
      <w:r w:rsidRPr="001B454D">
        <w:rPr>
          <w:rFonts w:ascii="Futura Bk BT" w:hAnsi="Futura Bk BT" w:cs="Tahoma"/>
          <w:color w:val="383838"/>
        </w:rPr>
        <w:tab/>
      </w:r>
      <w:r w:rsidRPr="001B454D">
        <w:rPr>
          <w:rFonts w:ascii="Futura Bk BT" w:hAnsi="Futura Bk BT" w:cs="Tahoma"/>
          <w:color w:val="383838"/>
        </w:rPr>
        <w:tab/>
      </w:r>
      <w:r w:rsidRPr="001B454D">
        <w:rPr>
          <w:rFonts w:ascii="Futura Bk BT" w:hAnsi="Futura Bk BT" w:cs="Tahoma"/>
          <w:color w:val="383838"/>
        </w:rPr>
        <w:tab/>
      </w:r>
      <w:r w:rsidR="00FC2484">
        <w:rPr>
          <w:rFonts w:ascii="Futura Bk BT" w:hAnsi="Futura Bk BT" w:cs="Tahoma"/>
          <w:color w:val="383838"/>
        </w:rPr>
        <w:t xml:space="preserve">           </w:t>
      </w:r>
      <w:r w:rsidRPr="001B454D">
        <w:rPr>
          <w:rFonts w:ascii="Futura Bk BT" w:hAnsi="Futura Bk BT" w:cs="Tahoma"/>
          <w:color w:val="383838"/>
        </w:rPr>
        <w:tab/>
      </w:r>
      <w:r w:rsidRPr="001B454D">
        <w:rPr>
          <w:rFonts w:ascii="Futura Bk BT" w:hAnsi="Futura Bk BT" w:cs="Tahoma"/>
          <w:color w:val="383838"/>
        </w:rPr>
        <w:tab/>
      </w:r>
    </w:p>
    <w:p w14:paraId="129BE50A" w14:textId="01AE5E31" w:rsidR="00D17559" w:rsidRPr="001B454D" w:rsidRDefault="00D17559" w:rsidP="00FC1A1D">
      <w:pPr>
        <w:pStyle w:val="Normaalweb"/>
        <w:shd w:val="clear" w:color="auto" w:fill="FFFFFF"/>
        <w:spacing w:before="204" w:beforeAutospacing="0" w:after="204" w:afterAutospacing="0"/>
        <w:textAlignment w:val="baseline"/>
        <w:rPr>
          <w:rFonts w:ascii="Futura Bk BT" w:hAnsi="Futura Bk BT" w:cs="Tahoma"/>
          <w:color w:val="383838"/>
        </w:rPr>
      </w:pPr>
    </w:p>
    <w:p w14:paraId="53F468C9" w14:textId="336DC976" w:rsidR="00D17559" w:rsidRPr="009A33A1" w:rsidRDefault="00D17559" w:rsidP="00FC1A1D">
      <w:pPr>
        <w:pStyle w:val="Normaalweb"/>
        <w:shd w:val="clear" w:color="auto" w:fill="FFFFFF"/>
        <w:spacing w:before="204" w:beforeAutospacing="0" w:after="204" w:afterAutospacing="0"/>
        <w:textAlignment w:val="baseline"/>
        <w:rPr>
          <w:rFonts w:ascii="Futura Bk BT" w:hAnsi="Futura Bk BT" w:cs="Tahoma"/>
          <w:color w:val="383838"/>
        </w:rPr>
      </w:pPr>
      <w:r w:rsidRPr="001B454D">
        <w:rPr>
          <w:rFonts w:ascii="Futura Bk BT" w:hAnsi="Futura Bk BT" w:cs="Tahoma"/>
          <w:color w:val="383838"/>
        </w:rPr>
        <w:t xml:space="preserve">NOTE – The </w:t>
      </w:r>
      <w:r w:rsidR="00FD702C" w:rsidRPr="001B454D">
        <w:rPr>
          <w:rFonts w:ascii="Futura Bk BT" w:hAnsi="Futura Bk BT" w:cs="Tahoma"/>
          <w:color w:val="383838"/>
        </w:rPr>
        <w:t>“</w:t>
      </w:r>
      <w:r w:rsidR="00FD702C" w:rsidRPr="001B454D">
        <w:rPr>
          <w:rFonts w:ascii="Futura Bk BT" w:hAnsi="Futura Bk BT" w:cs="Tahoma"/>
        </w:rPr>
        <w:t>General NDT/CKJ EiC Regulations”</w:t>
      </w:r>
      <w:r w:rsidRPr="001B454D">
        <w:rPr>
          <w:rFonts w:ascii="Futura Bk BT" w:hAnsi="Futura Bk BT" w:cs="Tahoma"/>
          <w:color w:val="383838"/>
        </w:rPr>
        <w:t xml:space="preserve"> </w:t>
      </w:r>
      <w:r w:rsidR="00FD702C" w:rsidRPr="001B454D">
        <w:rPr>
          <w:rFonts w:ascii="Futura Bk BT" w:hAnsi="Futura Bk BT" w:cs="Tahoma"/>
          <w:color w:val="383838"/>
        </w:rPr>
        <w:t>are</w:t>
      </w:r>
      <w:r w:rsidRPr="001B454D">
        <w:rPr>
          <w:rFonts w:ascii="Futura Bk BT" w:hAnsi="Futura Bk BT" w:cs="Tahoma"/>
          <w:color w:val="383838"/>
        </w:rPr>
        <w:t xml:space="preserve"> integral part</w:t>
      </w:r>
      <w:r w:rsidR="00FD702C" w:rsidRPr="001B454D">
        <w:rPr>
          <w:rFonts w:ascii="Futura Bk BT" w:hAnsi="Futura Bk BT" w:cs="Tahoma"/>
          <w:color w:val="383838"/>
        </w:rPr>
        <w:t>s</w:t>
      </w:r>
      <w:r w:rsidRPr="001B454D">
        <w:rPr>
          <w:rFonts w:ascii="Futura Bk BT" w:hAnsi="Futura Bk BT" w:cs="Tahoma"/>
          <w:color w:val="383838"/>
        </w:rPr>
        <w:t xml:space="preserve"> of this agreement.</w:t>
      </w:r>
    </w:p>
    <w:sectPr w:rsidR="00D17559" w:rsidRPr="009A33A1" w:rsidSect="00922EC2">
      <w:head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AFF6" w14:textId="77777777" w:rsidR="006F10DF" w:rsidRDefault="006F10DF" w:rsidP="0080333E">
      <w:pPr>
        <w:spacing w:after="0" w:line="240" w:lineRule="auto"/>
      </w:pPr>
      <w:r>
        <w:separator/>
      </w:r>
    </w:p>
  </w:endnote>
  <w:endnote w:type="continuationSeparator" w:id="0">
    <w:p w14:paraId="27704170" w14:textId="77777777" w:rsidR="006F10DF" w:rsidRDefault="006F10DF" w:rsidP="0080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6FFE" w14:textId="77777777" w:rsidR="00C806A4" w:rsidRPr="0080333E" w:rsidRDefault="00C806A4" w:rsidP="00C806A4">
    <w:pPr>
      <w:pStyle w:val="Koptekst"/>
      <w:tabs>
        <w:tab w:val="clear" w:pos="4513"/>
        <w:tab w:val="clear" w:pos="9026"/>
        <w:tab w:val="left" w:pos="8880"/>
      </w:tabs>
      <w:rPr>
        <w:lang w:val="it-IT"/>
      </w:rPr>
    </w:pPr>
    <w:r>
      <w:rPr>
        <w:noProof/>
        <w:lang w:val="de-DE" w:eastAsia="de-DE"/>
      </w:rPr>
      <mc:AlternateContent>
        <mc:Choice Requires="wps">
          <w:drawing>
            <wp:anchor distT="0" distB="0" distL="114300" distR="114300" simplePos="0" relativeHeight="251667456" behindDoc="0" locked="0" layoutInCell="1" allowOverlap="1" wp14:anchorId="71E4E296" wp14:editId="74D59750">
              <wp:simplePos x="0" y="0"/>
              <wp:positionH relativeFrom="margin">
                <wp:align>right</wp:align>
              </wp:positionH>
              <wp:positionV relativeFrom="paragraph">
                <wp:posOffset>80010</wp:posOffset>
              </wp:positionV>
              <wp:extent cx="6086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086475" cy="9525"/>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2000C" id="Straight Connector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6.3pt" to="907.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lnvAEAANgDAAAOAAAAZHJzL2Uyb0RvYy54bWysU8tu2zAQvBfoPxC813qkdlPBcg5x0kvR&#10;Bm36ATS1tAjwBZK15L/vklLkoCkQtOhlxcfO7Oxwtb0ZtSIn8EFa09JqVVIChttOmmNLfzzev7um&#10;JERmOqasgZaeIdCb3ds328E1UNveqg48QRITmsG1tI/RNUUReA+ahZV1YPBSWK9ZxK0/Fp1nA7Jr&#10;VdRluSkG6zvnLYcQ8HQ/XdJd5hcCePwqRIBIVEtRW8zR53hIsdhtWXP0zPWSzzLYP6jQTBosulDt&#10;WWTkp5cvqLTk3gYr4opbXVghJIfcA3ZTlb91871nDnIvaE5wi03h/9HyL6db8+DRhsGFJrgHn7oY&#10;hdfpi/rImM06L2bBGAnHw015vXn/YU0Jx7uP63qdvCwuWOdD/ARWk7RoqZImtcIadvoc4pT6lJKO&#10;lUkxWCW7e6lU3vjj4VZ5cmL4ePur+q6q5xrP0rBighYX+XkVzwom2m8giOxQcJXL58mChZZxDiZe&#10;zbzKYHaCCZSwAMvXgXN+gkKeur8BL4hc2Zq4gLU01v+pehyrWbKY8p8cmPpOFhxsd84Pm63B8cmv&#10;M496ms/n+wy//JC7XwAAAP//AwBQSwMEFAAGAAgAAAAhAF3O8DbdAAAABgEAAA8AAABkcnMvZG93&#10;bnJldi54bWxMj0FLw0AQhe+C/2EZwZvdpJhYYzZFlIKgF6tij9PsmASzsyG7aaO/3vGkx/fe8N43&#10;5Xp2vTrQGDrPBtJFAoq49rbjxsDry+ZiBSpEZIu9ZzLwRQHW1elJiYX1R36mwzY2Sko4FGigjXEo&#10;tA51Sw7Dwg/Ekn340WEUOTbajniUctfrZZLk2mHHstDiQHct1Z/byRnYZA82fdvpcP/93j3t8unR&#10;Js2VMedn8+0NqEhz/DuGX3xBh0qY9n5iG1RvQB6J4i5zUJJeZ6sM1F6MyxR0Ver/+NUPAAAA//8D&#10;AFBLAQItABQABgAIAAAAIQC2gziS/gAAAOEBAAATAAAAAAAAAAAAAAAAAAAAAABbQ29udGVudF9U&#10;eXBlc10ueG1sUEsBAi0AFAAGAAgAAAAhADj9If/WAAAAlAEAAAsAAAAAAAAAAAAAAAAALwEAAF9y&#10;ZWxzLy5yZWxzUEsBAi0AFAAGAAgAAAAhAK04WWe8AQAA2AMAAA4AAAAAAAAAAAAAAAAALgIAAGRy&#10;cy9lMm9Eb2MueG1sUEsBAi0AFAAGAAgAAAAhAF3O8DbdAAAABgEAAA8AAAAAAAAAAAAAAAAAFgQA&#10;AGRycy9kb3ducmV2LnhtbFBLBQYAAAAABAAEAPMAAAAgBQAAAAA=&#10;" strokecolor="#d32e12" strokeweight=".5pt">
              <v:stroke joinstyle="miter"/>
              <w10:wrap anchorx="margin"/>
            </v:line>
          </w:pict>
        </mc:Fallback>
      </mc:AlternateContent>
    </w:r>
    <w:r>
      <w:rPr>
        <w:lang w:val="it-IT"/>
      </w:rPr>
      <w:tab/>
    </w:r>
  </w:p>
  <w:p w14:paraId="25A43FA9" w14:textId="77777777" w:rsidR="00C806A4" w:rsidRPr="00300C07" w:rsidRDefault="00C806A4" w:rsidP="00C806A4">
    <w:pPr>
      <w:pStyle w:val="Voettekst"/>
      <w:jc w:val="center"/>
      <w:rPr>
        <w:rFonts w:ascii="Futura Bk BT" w:hAnsi="Futura Bk BT" w:cs="Futura"/>
        <w:b/>
        <w:sz w:val="18"/>
        <w:szCs w:val="18"/>
      </w:rPr>
    </w:pPr>
    <w:r w:rsidRPr="00300C07">
      <w:rPr>
        <w:rFonts w:ascii="Futura Bk BT" w:hAnsi="Futura Bk BT" w:cs="Futura"/>
        <w:b/>
        <w:sz w:val="18"/>
        <w:szCs w:val="18"/>
      </w:rPr>
      <w:t>European Renal Association - Charity registered in England and Wales: registration n° 1060134</w:t>
    </w:r>
  </w:p>
  <w:p w14:paraId="292B0ED0" w14:textId="77777777" w:rsidR="00247FA0" w:rsidRPr="006E1312" w:rsidRDefault="00C806A4" w:rsidP="00C806A4">
    <w:pPr>
      <w:pStyle w:val="Voettekst"/>
      <w:jc w:val="center"/>
      <w:rPr>
        <w:rFonts w:ascii="Futura Bk BT" w:hAnsi="Futura Bk BT" w:cs="Futura"/>
        <w:bCs/>
        <w:sz w:val="16"/>
        <w:szCs w:val="16"/>
      </w:rPr>
    </w:pPr>
    <w:r w:rsidRPr="006E1312">
      <w:rPr>
        <w:rFonts w:ascii="Futura Bk BT" w:hAnsi="Futura Bk BT" w:cs="Futura"/>
        <w:bCs/>
        <w:sz w:val="16"/>
        <w:szCs w:val="16"/>
      </w:rPr>
      <w:t>Registered office: c/o PKF Littlejohn, 15 Westferry Circus, Canary Wharf, London E14 4HD,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3F82" w14:textId="77777777" w:rsidR="006F10DF" w:rsidRDefault="006F10DF" w:rsidP="0080333E">
      <w:pPr>
        <w:spacing w:after="0" w:line="240" w:lineRule="auto"/>
      </w:pPr>
      <w:r>
        <w:separator/>
      </w:r>
    </w:p>
  </w:footnote>
  <w:footnote w:type="continuationSeparator" w:id="0">
    <w:p w14:paraId="43CF6F75" w14:textId="77777777" w:rsidR="006F10DF" w:rsidRDefault="006F10DF" w:rsidP="0080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F0CF" w14:textId="77777777" w:rsidR="001B4A92" w:rsidRPr="001B4A92" w:rsidRDefault="005636CF" w:rsidP="006464F7">
    <w:pPr>
      <w:pStyle w:val="Koptekst"/>
      <w:rPr>
        <w:rFonts w:ascii="Futura Bk BT" w:hAnsi="Futura Bk BT" w:cs="Futura"/>
        <w:bCs/>
        <w:sz w:val="16"/>
        <w:szCs w:val="16"/>
        <w:lang w:val="it-IT"/>
      </w:rPr>
    </w:pPr>
    <w:r w:rsidRPr="00FA53DF">
      <w:rPr>
        <w:rFonts w:ascii="Futura Bk BT" w:hAnsi="Futura Bk BT" w:cs="Futura"/>
        <w:bCs/>
        <w:noProof/>
        <w:sz w:val="18"/>
        <w:szCs w:val="18"/>
        <w:lang w:val="de-DE" w:eastAsia="de-DE"/>
      </w:rPr>
      <w:drawing>
        <wp:inline distT="0" distB="0" distL="0" distR="0" wp14:anchorId="3B7D7912" wp14:editId="579A7769">
          <wp:extent cx="1162050" cy="590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70438" cy="595056"/>
                  </a:xfrm>
                  <a:prstGeom prst="rect">
                    <a:avLst/>
                  </a:prstGeom>
                </pic:spPr>
              </pic:pic>
            </a:graphicData>
          </a:graphic>
        </wp:inline>
      </w:drawing>
    </w:r>
  </w:p>
  <w:p w14:paraId="6ED90B84" w14:textId="77777777" w:rsidR="005636CF" w:rsidRPr="00116C4B" w:rsidRDefault="00354614" w:rsidP="00927586">
    <w:pPr>
      <w:pStyle w:val="Koptekst"/>
      <w:tabs>
        <w:tab w:val="clear" w:pos="4513"/>
        <w:tab w:val="clear" w:pos="9026"/>
        <w:tab w:val="center" w:pos="3108"/>
        <w:tab w:val="right" w:pos="6113"/>
      </w:tabs>
      <w:ind w:left="103"/>
      <w:rPr>
        <w:rFonts w:ascii="Futura Bk BT" w:hAnsi="Futura Bk BT" w:cs="Futura"/>
        <w:bCs/>
        <w:sz w:val="16"/>
        <w:szCs w:val="16"/>
        <w:lang w:val="it-IT"/>
      </w:rPr>
    </w:pPr>
    <w:r>
      <w:rPr>
        <w:noProof/>
        <w:lang w:val="de-DE" w:eastAsia="de-DE"/>
      </w:rPr>
      <mc:AlternateContent>
        <mc:Choice Requires="wps">
          <w:drawing>
            <wp:anchor distT="0" distB="0" distL="114300" distR="114300" simplePos="0" relativeHeight="251651584" behindDoc="0" locked="0" layoutInCell="1" allowOverlap="1" wp14:anchorId="5BE3E91C" wp14:editId="5172BB93">
              <wp:simplePos x="0" y="0"/>
              <wp:positionH relativeFrom="margin">
                <wp:align>right</wp:align>
              </wp:positionH>
              <wp:positionV relativeFrom="paragraph">
                <wp:posOffset>114300</wp:posOffset>
              </wp:positionV>
              <wp:extent cx="6038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70A1E" id="Straight Connector 4" o:spid="_x0000_s1026" style="position:absolute;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179BAA63" w14:textId="77777777" w:rsidR="0080333E" w:rsidRPr="0080333E" w:rsidRDefault="0080333E" w:rsidP="006410D8">
    <w:pPr>
      <w:pStyle w:val="Kopteks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7D23" w14:textId="77777777" w:rsidR="00C806A4" w:rsidRPr="0080333E" w:rsidRDefault="00C806A4" w:rsidP="00C806A4">
    <w:pPr>
      <w:pStyle w:val="Koptekst"/>
      <w:jc w:val="right"/>
      <w:rPr>
        <w:rFonts w:ascii="Futura Bk BT" w:hAnsi="Futura Bk BT" w:cs="Futura"/>
        <w:b/>
        <w:sz w:val="16"/>
        <w:szCs w:val="16"/>
        <w:lang w:val="it-IT"/>
      </w:rPr>
    </w:pPr>
    <w:r w:rsidRPr="00DA36C8">
      <w:rPr>
        <w:rFonts w:ascii="Futura Bk BT" w:hAnsi="Futura Bk BT" w:cs="Futura"/>
        <w:bCs/>
        <w:noProof/>
        <w:sz w:val="20"/>
        <w:szCs w:val="20"/>
        <w:lang w:val="de-DE" w:eastAsia="de-DE"/>
      </w:rPr>
      <w:drawing>
        <wp:anchor distT="0" distB="0" distL="114300" distR="114300" simplePos="0" relativeHeight="251665408" behindDoc="1" locked="0" layoutInCell="1" allowOverlap="1" wp14:anchorId="3992DF87" wp14:editId="529611D0">
          <wp:simplePos x="0" y="0"/>
          <wp:positionH relativeFrom="margin">
            <wp:align>left</wp:align>
          </wp:positionH>
          <wp:positionV relativeFrom="paragraph">
            <wp:posOffset>-69215</wp:posOffset>
          </wp:positionV>
          <wp:extent cx="1592276" cy="809519"/>
          <wp:effectExtent l="0" t="0" r="8255" b="0"/>
          <wp:wrapTight wrapText="bothSides">
            <wp:wrapPolygon edited="0">
              <wp:start x="0" y="0"/>
              <wp:lineTo x="0" y="20854"/>
              <wp:lineTo x="21454" y="20854"/>
              <wp:lineTo x="214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92276" cy="809519"/>
                  </a:xfrm>
                  <a:prstGeom prst="rect">
                    <a:avLst/>
                  </a:prstGeom>
                </pic:spPr>
              </pic:pic>
            </a:graphicData>
          </a:graphic>
        </wp:anchor>
      </w:drawing>
    </w:r>
  </w:p>
  <w:p w14:paraId="01957B6A" w14:textId="77777777" w:rsidR="00C806A4" w:rsidRPr="00116C4B" w:rsidRDefault="00C806A4" w:rsidP="00C806A4">
    <w:pPr>
      <w:pStyle w:val="Koptekst"/>
      <w:jc w:val="right"/>
      <w:rPr>
        <w:rFonts w:ascii="Futura Bk BT" w:hAnsi="Futura Bk BT" w:cs="Futura"/>
        <w:bCs/>
        <w:sz w:val="16"/>
        <w:szCs w:val="16"/>
        <w:lang w:val="it-IT"/>
      </w:rPr>
    </w:pPr>
  </w:p>
  <w:p w14:paraId="5EAC40DC" w14:textId="77777777" w:rsidR="00C806A4" w:rsidRPr="00116C4B" w:rsidRDefault="00C806A4" w:rsidP="00C806A4">
    <w:pPr>
      <w:pStyle w:val="Koptekst"/>
      <w:jc w:val="right"/>
      <w:rPr>
        <w:rFonts w:ascii="Futura Bk BT" w:hAnsi="Futura Bk BT" w:cs="Futura"/>
        <w:bCs/>
        <w:sz w:val="16"/>
        <w:szCs w:val="16"/>
        <w:lang w:val="it-IT"/>
      </w:rPr>
    </w:pPr>
  </w:p>
  <w:p w14:paraId="11413056" w14:textId="77777777" w:rsidR="00C806A4" w:rsidRPr="001B4A92" w:rsidRDefault="00C806A4" w:rsidP="00C806A4">
    <w:pPr>
      <w:pStyle w:val="Koptekst"/>
      <w:jc w:val="right"/>
      <w:rPr>
        <w:rFonts w:ascii="Futura Bk BT" w:hAnsi="Futura Bk BT" w:cs="Futura"/>
        <w:bCs/>
        <w:sz w:val="16"/>
        <w:szCs w:val="16"/>
        <w:lang w:val="it-IT"/>
      </w:rPr>
    </w:pPr>
  </w:p>
  <w:p w14:paraId="0CE80E37" w14:textId="77777777" w:rsidR="00C806A4" w:rsidRPr="001B4A92" w:rsidRDefault="00C806A4" w:rsidP="00C806A4">
    <w:pPr>
      <w:pStyle w:val="Koptekst"/>
      <w:jc w:val="right"/>
      <w:rPr>
        <w:rFonts w:ascii="Futura Bk BT" w:hAnsi="Futura Bk BT" w:cs="Futura"/>
        <w:bCs/>
        <w:sz w:val="16"/>
        <w:szCs w:val="16"/>
        <w:lang w:val="it-IT"/>
      </w:rPr>
    </w:pPr>
  </w:p>
  <w:p w14:paraId="3D760595" w14:textId="77777777" w:rsidR="00C806A4" w:rsidRPr="001B4A92" w:rsidRDefault="00C806A4" w:rsidP="00C806A4">
    <w:pPr>
      <w:pStyle w:val="Koptekst"/>
      <w:jc w:val="right"/>
      <w:rPr>
        <w:rFonts w:ascii="Futura Bk BT" w:hAnsi="Futura Bk BT" w:cs="Futura"/>
        <w:bCs/>
        <w:sz w:val="16"/>
        <w:szCs w:val="16"/>
        <w:lang w:val="it-IT"/>
      </w:rPr>
    </w:pPr>
  </w:p>
  <w:p w14:paraId="73C10868" w14:textId="77777777" w:rsidR="00C806A4" w:rsidRPr="00116C4B" w:rsidRDefault="00C806A4" w:rsidP="00C806A4">
    <w:pPr>
      <w:pStyle w:val="Koptekst"/>
      <w:tabs>
        <w:tab w:val="clear" w:pos="4513"/>
        <w:tab w:val="clear" w:pos="9026"/>
        <w:tab w:val="center" w:pos="3108"/>
        <w:tab w:val="right" w:pos="6113"/>
      </w:tabs>
      <w:ind w:left="103"/>
      <w:rPr>
        <w:rFonts w:ascii="Futura Bk BT" w:hAnsi="Futura Bk BT" w:cs="Futura"/>
        <w:bCs/>
        <w:sz w:val="16"/>
        <w:szCs w:val="16"/>
        <w:lang w:val="it-IT"/>
      </w:rPr>
    </w:pPr>
    <w:r>
      <w:rPr>
        <w:noProof/>
        <w:lang w:val="de-DE" w:eastAsia="de-DE"/>
      </w:rPr>
      <mc:AlternateContent>
        <mc:Choice Requires="wps">
          <w:drawing>
            <wp:anchor distT="0" distB="0" distL="114300" distR="114300" simplePos="0" relativeHeight="251664384" behindDoc="0" locked="0" layoutInCell="1" allowOverlap="1" wp14:anchorId="6236353F" wp14:editId="54A5A62D">
              <wp:simplePos x="0" y="0"/>
              <wp:positionH relativeFrom="margin">
                <wp:align>right</wp:align>
              </wp:positionH>
              <wp:positionV relativeFrom="paragraph">
                <wp:posOffset>114300</wp:posOffset>
              </wp:positionV>
              <wp:extent cx="6038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518A6" id="Straight Connector 6"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4F6C7178" w14:textId="77777777" w:rsidR="00247FA0" w:rsidRPr="00661424" w:rsidRDefault="00247FA0">
    <w:pPr>
      <w:pStyle w:val="Kopteks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01D9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E07B48"/>
    <w:multiLevelType w:val="multilevel"/>
    <w:tmpl w:val="C5EC61E4"/>
    <w:lvl w:ilvl="0">
      <w:start w:val="1"/>
      <w:numFmt w:val="decimal"/>
      <w:pStyle w:val="OUPLegalHeading1"/>
      <w:lvlText w:val="%1"/>
      <w:lvlJc w:val="left"/>
      <w:pPr>
        <w:tabs>
          <w:tab w:val="num" w:pos="567"/>
        </w:tabs>
        <w:ind w:left="567" w:hanging="567"/>
      </w:pPr>
      <w:rPr>
        <w:rFonts w:ascii="Times New Roman" w:hAnsi="Times New Roman" w:hint="default"/>
        <w:b w:val="0"/>
        <w:i w:val="0"/>
        <w:caps/>
        <w:sz w:val="22"/>
        <w:u w:val="none"/>
      </w:rPr>
    </w:lvl>
    <w:lvl w:ilvl="1">
      <w:start w:val="1"/>
      <w:numFmt w:val="decimal"/>
      <w:pStyle w:val="OUPLegalParagraph11"/>
      <w:lvlText w:val="%1.%2"/>
      <w:lvlJc w:val="left"/>
      <w:pPr>
        <w:tabs>
          <w:tab w:val="num" w:pos="567"/>
        </w:tabs>
        <w:ind w:left="567" w:hanging="567"/>
      </w:pPr>
      <w:rPr>
        <w:rFonts w:ascii="Times New Roman" w:hAnsi="Times New Roman" w:hint="default"/>
        <w:b w:val="0"/>
        <w:i w:val="0"/>
        <w:sz w:val="22"/>
        <w:u w:val="none"/>
      </w:rPr>
    </w:lvl>
    <w:lvl w:ilvl="2">
      <w:start w:val="1"/>
      <w:numFmt w:val="decimal"/>
      <w:lvlRestart w:val="0"/>
      <w:pStyle w:val="OUPLegalParagraph111"/>
      <w:lvlText w:val="%1.%2.%3"/>
      <w:lvlJc w:val="left"/>
      <w:pPr>
        <w:tabs>
          <w:tab w:val="num" w:pos="1134"/>
        </w:tabs>
        <w:ind w:left="1134" w:hanging="567"/>
      </w:pPr>
      <w:rPr>
        <w:rFonts w:ascii="Times New Roman" w:hAnsi="Times New Roman" w:hint="default"/>
        <w:sz w:val="22"/>
      </w:rPr>
    </w:lvl>
    <w:lvl w:ilvl="3">
      <w:start w:val="1"/>
      <w:numFmt w:val="decimal"/>
      <w:lvlText w:val="%1.%2.%3.%4."/>
      <w:lvlJc w:val="left"/>
      <w:pPr>
        <w:tabs>
          <w:tab w:val="num" w:pos="1800"/>
        </w:tabs>
        <w:ind w:left="1728" w:hanging="648"/>
      </w:pPr>
      <w:rPr>
        <w:rFonts w:ascii="Times New Roman" w:hAnsi="Times New Roman" w:hint="default"/>
        <w:b w:val="0"/>
        <w:i w:val="0"/>
        <w:sz w:val="22"/>
      </w:rPr>
    </w:lvl>
    <w:lvl w:ilvl="4">
      <w:start w:val="1"/>
      <w:numFmt w:val="decimal"/>
      <w:lvlText w:val="%1.%2.%3.%4.%5."/>
      <w:lvlJc w:val="left"/>
      <w:pPr>
        <w:tabs>
          <w:tab w:val="num" w:pos="2520"/>
        </w:tabs>
        <w:ind w:left="2232" w:hanging="792"/>
      </w:pPr>
      <w:rPr>
        <w:rFonts w:ascii="Times New Roman" w:hAnsi="Times New Roman" w:hint="default"/>
        <w:b w:val="0"/>
        <w:i w:val="0"/>
        <w:sz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D6B1DA5"/>
    <w:multiLevelType w:val="multilevel"/>
    <w:tmpl w:val="07C806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3A410F4F"/>
    <w:multiLevelType w:val="hybridMultilevel"/>
    <w:tmpl w:val="11AE96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8576EF5"/>
    <w:multiLevelType w:val="hybridMultilevel"/>
    <w:tmpl w:val="0E78857C"/>
    <w:lvl w:ilvl="0" w:tplc="0409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B767E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E657A36"/>
    <w:multiLevelType w:val="hybridMultilevel"/>
    <w:tmpl w:val="A2E81414"/>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150810">
    <w:abstractNumId w:val="1"/>
  </w:num>
  <w:num w:numId="2" w16cid:durableId="331378433">
    <w:abstractNumId w:val="2"/>
  </w:num>
  <w:num w:numId="3" w16cid:durableId="1389105281">
    <w:abstractNumId w:val="6"/>
  </w:num>
  <w:num w:numId="4" w16cid:durableId="2387172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1144491">
    <w:abstractNumId w:val="0"/>
  </w:num>
  <w:num w:numId="6" w16cid:durableId="615723235">
    <w:abstractNumId w:val="5"/>
  </w:num>
  <w:num w:numId="7" w16cid:durableId="735586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4"/>
    <w:rsid w:val="00005EA7"/>
    <w:rsid w:val="00010260"/>
    <w:rsid w:val="00046B58"/>
    <w:rsid w:val="00086333"/>
    <w:rsid w:val="000A4912"/>
    <w:rsid w:val="000B5340"/>
    <w:rsid w:val="000F1CDD"/>
    <w:rsid w:val="001020E5"/>
    <w:rsid w:val="0011569C"/>
    <w:rsid w:val="00116C4B"/>
    <w:rsid w:val="00181E53"/>
    <w:rsid w:val="001963CA"/>
    <w:rsid w:val="001B454D"/>
    <w:rsid w:val="001B4A92"/>
    <w:rsid w:val="001D2E74"/>
    <w:rsid w:val="0020600B"/>
    <w:rsid w:val="00210979"/>
    <w:rsid w:val="00246A6D"/>
    <w:rsid w:val="00247FA0"/>
    <w:rsid w:val="002A763B"/>
    <w:rsid w:val="002B40E3"/>
    <w:rsid w:val="002B5A34"/>
    <w:rsid w:val="00300C07"/>
    <w:rsid w:val="003049B3"/>
    <w:rsid w:val="003062E0"/>
    <w:rsid w:val="003415CF"/>
    <w:rsid w:val="00354614"/>
    <w:rsid w:val="00356C6A"/>
    <w:rsid w:val="00367494"/>
    <w:rsid w:val="00381163"/>
    <w:rsid w:val="00392B89"/>
    <w:rsid w:val="00397334"/>
    <w:rsid w:val="003D7DC6"/>
    <w:rsid w:val="003E525E"/>
    <w:rsid w:val="0043218C"/>
    <w:rsid w:val="00453032"/>
    <w:rsid w:val="004616D2"/>
    <w:rsid w:val="004F2E0D"/>
    <w:rsid w:val="0051751C"/>
    <w:rsid w:val="005305B2"/>
    <w:rsid w:val="005636CF"/>
    <w:rsid w:val="00580932"/>
    <w:rsid w:val="0059307F"/>
    <w:rsid w:val="005C10E5"/>
    <w:rsid w:val="006410D8"/>
    <w:rsid w:val="00642D31"/>
    <w:rsid w:val="006464F7"/>
    <w:rsid w:val="006528A0"/>
    <w:rsid w:val="00661424"/>
    <w:rsid w:val="006637E9"/>
    <w:rsid w:val="00676B4F"/>
    <w:rsid w:val="006B374D"/>
    <w:rsid w:val="006E1312"/>
    <w:rsid w:val="006F10DF"/>
    <w:rsid w:val="00755909"/>
    <w:rsid w:val="0076218B"/>
    <w:rsid w:val="00774E50"/>
    <w:rsid w:val="00792D41"/>
    <w:rsid w:val="007A454D"/>
    <w:rsid w:val="007A6569"/>
    <w:rsid w:val="007C741A"/>
    <w:rsid w:val="007D1355"/>
    <w:rsid w:val="007E623C"/>
    <w:rsid w:val="0080079C"/>
    <w:rsid w:val="0080333E"/>
    <w:rsid w:val="008772A8"/>
    <w:rsid w:val="008A36D8"/>
    <w:rsid w:val="008B0B1B"/>
    <w:rsid w:val="008E2D81"/>
    <w:rsid w:val="00901B32"/>
    <w:rsid w:val="009020FE"/>
    <w:rsid w:val="00922EC2"/>
    <w:rsid w:val="00927586"/>
    <w:rsid w:val="00933FFE"/>
    <w:rsid w:val="00952627"/>
    <w:rsid w:val="00961E6C"/>
    <w:rsid w:val="0096701C"/>
    <w:rsid w:val="009776E4"/>
    <w:rsid w:val="009A33A1"/>
    <w:rsid w:val="009F08C1"/>
    <w:rsid w:val="00A00879"/>
    <w:rsid w:val="00A33A97"/>
    <w:rsid w:val="00A4325A"/>
    <w:rsid w:val="00A5532D"/>
    <w:rsid w:val="00A869ED"/>
    <w:rsid w:val="00AD2DA8"/>
    <w:rsid w:val="00AF2D82"/>
    <w:rsid w:val="00B17953"/>
    <w:rsid w:val="00B25E42"/>
    <w:rsid w:val="00B43B1E"/>
    <w:rsid w:val="00B74D56"/>
    <w:rsid w:val="00BC5C9A"/>
    <w:rsid w:val="00C05221"/>
    <w:rsid w:val="00C806A4"/>
    <w:rsid w:val="00CA5735"/>
    <w:rsid w:val="00CE203E"/>
    <w:rsid w:val="00D0349B"/>
    <w:rsid w:val="00D17559"/>
    <w:rsid w:val="00D324AC"/>
    <w:rsid w:val="00D37661"/>
    <w:rsid w:val="00D548E2"/>
    <w:rsid w:val="00D66477"/>
    <w:rsid w:val="00D750B5"/>
    <w:rsid w:val="00D85E2D"/>
    <w:rsid w:val="00DA36C8"/>
    <w:rsid w:val="00DC7BFB"/>
    <w:rsid w:val="00E44E20"/>
    <w:rsid w:val="00E64020"/>
    <w:rsid w:val="00F04FAB"/>
    <w:rsid w:val="00F23FA2"/>
    <w:rsid w:val="00F37E72"/>
    <w:rsid w:val="00F47388"/>
    <w:rsid w:val="00F6215E"/>
    <w:rsid w:val="00FA53DF"/>
    <w:rsid w:val="00FC1A1D"/>
    <w:rsid w:val="00FC2484"/>
    <w:rsid w:val="00FD357A"/>
    <w:rsid w:val="00FD5F77"/>
    <w:rsid w:val="00FD702C"/>
    <w:rsid w:val="00FE1A01"/>
    <w:rsid w:val="00FE22D8"/>
    <w:rsid w:val="00FE2E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1F09F"/>
  <w15:chartTrackingRefBased/>
  <w15:docId w15:val="{FC219143-0AB9-4A1D-8558-A1523CEA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333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0333E"/>
  </w:style>
  <w:style w:type="paragraph" w:styleId="Voettekst">
    <w:name w:val="footer"/>
    <w:basedOn w:val="Standaard"/>
    <w:link w:val="VoettekstChar"/>
    <w:uiPriority w:val="99"/>
    <w:unhideWhenUsed/>
    <w:rsid w:val="0080333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0333E"/>
  </w:style>
  <w:style w:type="character" w:styleId="Hyperlink">
    <w:name w:val="Hyperlink"/>
    <w:basedOn w:val="Standaardalinea-lettertype"/>
    <w:uiPriority w:val="99"/>
    <w:unhideWhenUsed/>
    <w:rsid w:val="0080333E"/>
    <w:rPr>
      <w:color w:val="0563C1" w:themeColor="hyperlink"/>
      <w:u w:val="single"/>
    </w:rPr>
  </w:style>
  <w:style w:type="character" w:customStyle="1" w:styleId="Onopgelostemelding1">
    <w:name w:val="Onopgeloste melding1"/>
    <w:basedOn w:val="Standaardalinea-lettertype"/>
    <w:uiPriority w:val="99"/>
    <w:semiHidden/>
    <w:unhideWhenUsed/>
    <w:rsid w:val="0080333E"/>
    <w:rPr>
      <w:color w:val="605E5C"/>
      <w:shd w:val="clear" w:color="auto" w:fill="E1DFDD"/>
    </w:rPr>
  </w:style>
  <w:style w:type="table" w:styleId="Tabelraster">
    <w:name w:val="Table Grid"/>
    <w:basedOn w:val="Standaardtabel"/>
    <w:uiPriority w:val="39"/>
    <w:rsid w:val="0004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97334"/>
    <w:pPr>
      <w:spacing w:after="0" w:line="240" w:lineRule="auto"/>
      <w:ind w:left="720"/>
    </w:pPr>
    <w:rPr>
      <w:rFonts w:ascii="Times" w:eastAsia="Times" w:hAnsi="Times" w:cs="Times New Roman"/>
      <w:sz w:val="24"/>
      <w:szCs w:val="20"/>
      <w:lang w:val="it-IT" w:eastAsia="it-IT"/>
    </w:rPr>
  </w:style>
  <w:style w:type="paragraph" w:customStyle="1" w:styleId="OUPLegalParagraph11">
    <w:name w:val="OUP Legal Paragraph 1.1"/>
    <w:basedOn w:val="Standaard"/>
    <w:rsid w:val="00397334"/>
    <w:pPr>
      <w:numPr>
        <w:ilvl w:val="1"/>
        <w:numId w:val="1"/>
      </w:numPr>
      <w:spacing w:after="0" w:line="360" w:lineRule="auto"/>
    </w:pPr>
    <w:rPr>
      <w:rFonts w:ascii="Times New Roman" w:eastAsia="Times New Roman" w:hAnsi="Times New Roman" w:cs="Times New Roman"/>
      <w:szCs w:val="20"/>
      <w:lang w:eastAsia="en-GB"/>
    </w:rPr>
  </w:style>
  <w:style w:type="paragraph" w:customStyle="1" w:styleId="OUPLegalParagraph111">
    <w:name w:val="OUP Legal Paragraph 1.1.1"/>
    <w:basedOn w:val="Standaard"/>
    <w:rsid w:val="00397334"/>
    <w:pPr>
      <w:numPr>
        <w:ilvl w:val="2"/>
        <w:numId w:val="1"/>
      </w:numPr>
      <w:spacing w:after="0" w:line="360" w:lineRule="auto"/>
    </w:pPr>
    <w:rPr>
      <w:rFonts w:ascii="Times New Roman" w:eastAsia="Times New Roman" w:hAnsi="Times New Roman" w:cs="Times New Roman"/>
      <w:szCs w:val="20"/>
      <w:lang w:eastAsia="en-GB"/>
    </w:rPr>
  </w:style>
  <w:style w:type="paragraph" w:customStyle="1" w:styleId="OUPLegalHeading1">
    <w:name w:val="OUP Legal Heading 1"/>
    <w:basedOn w:val="OUPLegalParagraph11"/>
    <w:rsid w:val="00397334"/>
    <w:pPr>
      <w:numPr>
        <w:ilvl w:val="0"/>
      </w:numPr>
    </w:pPr>
    <w:rPr>
      <w:b/>
      <w:caps/>
    </w:rPr>
  </w:style>
  <w:style w:type="paragraph" w:styleId="Normaalweb">
    <w:name w:val="Normal (Web)"/>
    <w:basedOn w:val="Standaard"/>
    <w:uiPriority w:val="99"/>
    <w:unhideWhenUsed/>
    <w:rsid w:val="00397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Verwijzingopmerking">
    <w:name w:val="annotation reference"/>
    <w:basedOn w:val="Standaardalinea-lettertype"/>
    <w:uiPriority w:val="99"/>
    <w:semiHidden/>
    <w:unhideWhenUsed/>
    <w:rsid w:val="00397334"/>
    <w:rPr>
      <w:sz w:val="16"/>
      <w:szCs w:val="16"/>
    </w:rPr>
  </w:style>
  <w:style w:type="paragraph" w:styleId="Tekstopmerking">
    <w:name w:val="annotation text"/>
    <w:basedOn w:val="Standaard"/>
    <w:link w:val="TekstopmerkingChar"/>
    <w:uiPriority w:val="99"/>
    <w:unhideWhenUsed/>
    <w:rsid w:val="00397334"/>
    <w:pPr>
      <w:spacing w:after="0" w:line="240" w:lineRule="auto"/>
    </w:pPr>
    <w:rPr>
      <w:rFonts w:ascii="Times" w:eastAsia="Times" w:hAnsi="Times" w:cs="Times New Roman"/>
      <w:sz w:val="20"/>
      <w:szCs w:val="20"/>
      <w:lang w:val="it-IT" w:eastAsia="it-IT"/>
    </w:rPr>
  </w:style>
  <w:style w:type="character" w:customStyle="1" w:styleId="TekstopmerkingChar">
    <w:name w:val="Tekst opmerking Char"/>
    <w:basedOn w:val="Standaardalinea-lettertype"/>
    <w:link w:val="Tekstopmerking"/>
    <w:uiPriority w:val="99"/>
    <w:rsid w:val="00397334"/>
    <w:rPr>
      <w:rFonts w:ascii="Times" w:eastAsia="Times" w:hAnsi="Times" w:cs="Times New Roman"/>
      <w:sz w:val="20"/>
      <w:szCs w:val="20"/>
      <w:lang w:val="it-IT" w:eastAsia="it-IT"/>
    </w:rPr>
  </w:style>
  <w:style w:type="paragraph" w:styleId="Onderwerpvanopmerking">
    <w:name w:val="annotation subject"/>
    <w:basedOn w:val="Tekstopmerking"/>
    <w:next w:val="Tekstopmerking"/>
    <w:link w:val="OnderwerpvanopmerkingChar"/>
    <w:uiPriority w:val="99"/>
    <w:semiHidden/>
    <w:unhideWhenUsed/>
    <w:rsid w:val="001020E5"/>
    <w:pPr>
      <w:spacing w:after="160"/>
    </w:pPr>
    <w:rPr>
      <w:rFonts w:asciiTheme="minorHAnsi" w:eastAsiaTheme="minorHAnsi" w:hAnsiTheme="minorHAnsi" w:cstheme="minorBidi"/>
      <w:b/>
      <w:bCs/>
      <w:lang w:val="en-GB" w:eastAsia="en-US"/>
    </w:rPr>
  </w:style>
  <w:style w:type="character" w:customStyle="1" w:styleId="OnderwerpvanopmerkingChar">
    <w:name w:val="Onderwerp van opmerking Char"/>
    <w:basedOn w:val="TekstopmerkingChar"/>
    <w:link w:val="Onderwerpvanopmerking"/>
    <w:uiPriority w:val="99"/>
    <w:semiHidden/>
    <w:rsid w:val="001020E5"/>
    <w:rPr>
      <w:rFonts w:ascii="Times" w:eastAsia="Times" w:hAnsi="Times" w:cs="Times New Roman"/>
      <w:b/>
      <w:bCs/>
      <w:sz w:val="20"/>
      <w:szCs w:val="20"/>
      <w:lang w:val="it-IT" w:eastAsia="it-IT"/>
    </w:rPr>
  </w:style>
  <w:style w:type="paragraph" w:customStyle="1" w:styleId="Default">
    <w:name w:val="Default"/>
    <w:rsid w:val="00A00879"/>
    <w:pPr>
      <w:autoSpaceDE w:val="0"/>
      <w:autoSpaceDN w:val="0"/>
      <w:adjustRightInd w:val="0"/>
      <w:spacing w:after="0" w:line="240" w:lineRule="auto"/>
    </w:pPr>
    <w:rPr>
      <w:rFonts w:ascii="Century Gothic" w:hAnsi="Century Gothic" w:cs="Century Gothic"/>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0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Desktop\Carta%20intestata%20ERA%20Institutio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ERA Institutional</Template>
  <TotalTime>0</TotalTime>
  <Pages>6</Pages>
  <Words>1792</Words>
  <Characters>9856</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Caroline Vinck - ERA</cp:lastModifiedBy>
  <cp:revision>6</cp:revision>
  <cp:lastPrinted>2023-08-29T14:55:00Z</cp:lastPrinted>
  <dcterms:created xsi:type="dcterms:W3CDTF">2024-02-28T13:42:00Z</dcterms:created>
  <dcterms:modified xsi:type="dcterms:W3CDTF">2024-02-28T13:46:00Z</dcterms:modified>
</cp:coreProperties>
</file>